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A8F" w:rsidRDefault="00942877" w:rsidP="00D70A8F">
      <w:pPr>
        <w:jc w:val="center"/>
        <w:rPr>
          <w:b/>
          <w:sz w:val="32"/>
          <w:szCs w:val="32"/>
        </w:rPr>
      </w:pPr>
      <w:bookmarkStart w:id="0" w:name="_GoBack"/>
      <w:bookmarkEnd w:id="0"/>
      <w:r w:rsidRPr="00D70A8F">
        <w:rPr>
          <w:b/>
          <w:sz w:val="32"/>
          <w:szCs w:val="32"/>
        </w:rPr>
        <w:t>Session 2 Summary</w:t>
      </w:r>
    </w:p>
    <w:p w:rsidR="000D4DE6" w:rsidRPr="00D70A8F" w:rsidRDefault="00942877" w:rsidP="000D4DE6">
      <w:pPr>
        <w:jc w:val="center"/>
        <w:rPr>
          <w:b/>
          <w:sz w:val="32"/>
          <w:szCs w:val="32"/>
        </w:rPr>
      </w:pPr>
      <w:r w:rsidRPr="00D70A8F">
        <w:rPr>
          <w:b/>
          <w:sz w:val="32"/>
          <w:szCs w:val="32"/>
        </w:rPr>
        <w:t>Committee 1 – Borrower Defenses &amp; Financial Responsibility</w:t>
      </w:r>
    </w:p>
    <w:p w:rsidR="00D70A8F" w:rsidRPr="00D70A8F" w:rsidRDefault="00942877" w:rsidP="000D4DE6">
      <w:pPr>
        <w:jc w:val="center"/>
        <w:rPr>
          <w:b/>
        </w:rPr>
      </w:pPr>
      <w:r w:rsidRPr="00D70A8F">
        <w:rPr>
          <w:b/>
        </w:rPr>
        <w:t>January 8 – 11, 2018</w:t>
      </w:r>
    </w:p>
    <w:p w:rsidR="000D4DE6" w:rsidRDefault="00942877" w:rsidP="000D4DE6"/>
    <w:p w:rsidR="000D4DE6" w:rsidRDefault="00942877" w:rsidP="000D4DE6">
      <w:r>
        <w:t xml:space="preserve">In an effort to consolidate the four days of deliberations into a “brief” summation, we have chosen to share the Department’s “Summary of Change” </w:t>
      </w:r>
      <w:r>
        <w:t xml:space="preserve">and highlights of the topics and takeaways </w:t>
      </w:r>
      <w:r>
        <w:t xml:space="preserve">for each of the </w:t>
      </w:r>
      <w:r>
        <w:t>eight Issue Papers.</w:t>
      </w:r>
    </w:p>
    <w:p w:rsidR="000D4DE6" w:rsidRDefault="00942877" w:rsidP="000D4DE6"/>
    <w:p w:rsidR="000D4DE6" w:rsidRDefault="00942877" w:rsidP="000D4DE6">
      <w:r>
        <w:t xml:space="preserve">We also focus on a key issue of importance regarding </w:t>
      </w:r>
      <w:r w:rsidRPr="00EC27CB">
        <w:rPr>
          <w:b/>
          <w:i/>
        </w:rPr>
        <w:t>lease liability</w:t>
      </w:r>
      <w:r>
        <w:t xml:space="preserve"> contained in the Financial Responsibility Subcommittee’s recommendations to the Committee.  AACS will be se</w:t>
      </w:r>
      <w:r>
        <w:t>eking additional information from many within our membership in order to help us formulate a response and additional recommendations prior to the Subcommittee’</w:t>
      </w:r>
      <w:r>
        <w:t>s final meeting in just a few weeks.</w:t>
      </w:r>
    </w:p>
    <w:p w:rsidR="000D4DE6" w:rsidRDefault="00942877" w:rsidP="000D4DE6"/>
    <w:p w:rsidR="000D4DE6" w:rsidRPr="005B0BF5" w:rsidRDefault="00942877" w:rsidP="000D4DE6">
      <w:pPr>
        <w:rPr>
          <w:b/>
        </w:rPr>
      </w:pPr>
      <w:r w:rsidRPr="005B0BF5">
        <w:rPr>
          <w:b/>
        </w:rPr>
        <w:t>Issue Paper 1 – Federal Standard</w:t>
      </w:r>
    </w:p>
    <w:p w:rsidR="000D4DE6" w:rsidRDefault="00942877" w:rsidP="000D4DE6">
      <w:r>
        <w:t xml:space="preserve">For loans first disbursed </w:t>
      </w:r>
      <w:r>
        <w:t>on or after July 1, 2019, borrowers with an eligible Direct Loan would be entitled to a discharge (or recover amounts already paid) of all or a portion of the loan if the borrower established either:</w:t>
      </w:r>
    </w:p>
    <w:p w:rsidR="000D4DE6" w:rsidRDefault="00942877" w:rsidP="000D4DE6">
      <w:pPr>
        <w:pStyle w:val="ListParagraph"/>
        <w:numPr>
          <w:ilvl w:val="0"/>
          <w:numId w:val="5"/>
        </w:numPr>
      </w:pPr>
      <w:r>
        <w:t>an institutional misrepresentation;</w:t>
      </w:r>
    </w:p>
    <w:p w:rsidR="000D4DE6" w:rsidRDefault="00942877" w:rsidP="000D4DE6">
      <w:pPr>
        <w:pStyle w:val="ListParagraph"/>
        <w:numPr>
          <w:ilvl w:val="0"/>
          <w:numId w:val="5"/>
        </w:numPr>
      </w:pPr>
      <w:r>
        <w:t>a court judgment aga</w:t>
      </w:r>
      <w:r>
        <w:t xml:space="preserve">inst an institution; or </w:t>
      </w:r>
    </w:p>
    <w:p w:rsidR="000D4DE6" w:rsidRDefault="00942877" w:rsidP="000D4DE6">
      <w:pPr>
        <w:pStyle w:val="ListParagraph"/>
        <w:numPr>
          <w:ilvl w:val="0"/>
          <w:numId w:val="5"/>
        </w:numPr>
      </w:pPr>
      <w:r>
        <w:t>a final judgment from an arbitrator against an institution.</w:t>
      </w:r>
    </w:p>
    <w:p w:rsidR="000D4DE6" w:rsidRDefault="00942877" w:rsidP="000D4DE6">
      <w:r>
        <w:t>The proposed regulations also describe in detail how a borrower establishes the basis for a claim.</w:t>
      </w:r>
    </w:p>
    <w:p w:rsidR="000D4DE6" w:rsidRDefault="00942877" w:rsidP="000D4DE6"/>
    <w:p w:rsidR="000D4DE6" w:rsidRPr="005B0BF5" w:rsidRDefault="00942877" w:rsidP="000D4DE6">
      <w:pPr>
        <w:rPr>
          <w:u w:val="single"/>
        </w:rPr>
      </w:pPr>
      <w:r w:rsidRPr="005B0BF5">
        <w:rPr>
          <w:u w:val="single"/>
        </w:rPr>
        <w:t>Summary</w:t>
      </w:r>
    </w:p>
    <w:p w:rsidR="000D4DE6" w:rsidRDefault="00942877" w:rsidP="000D4DE6">
      <w:r>
        <w:t>The fundamental, philosophical and also practical concern of ma</w:t>
      </w:r>
      <w:r>
        <w:t xml:space="preserve">ny negotiators who are opposed to the new regulations stems from the enhanced “standard of proof” contained in the new language.  Student advocates and others who support the 2016 regulations are outraged that, among other revisions, the new proposal sets </w:t>
      </w:r>
      <w:r>
        <w:t>a higher standard for the borrower to overcome, one that they believe is insurmountable in many, if not all instances.</w:t>
      </w:r>
    </w:p>
    <w:p w:rsidR="000D4DE6" w:rsidRDefault="00942877" w:rsidP="000D4DE6"/>
    <w:p w:rsidR="000D4DE6" w:rsidRDefault="00942877" w:rsidP="000D4DE6">
      <w:r>
        <w:t>As previously noted, these individuals took specific offense to a number of revisions which would require the borrower to provide eviden</w:t>
      </w:r>
      <w:r>
        <w:t>ce, that is “clear and convincing”, that the institution willfully “acted with an intent to deceive, knowledge of the falsity of misrepresentation, or a reckless disregard for the truth” that was “reasonably relied upon” to make their decision to acquire f</w:t>
      </w:r>
      <w:r>
        <w:t>inancial assistance to attend the institution.</w:t>
      </w:r>
    </w:p>
    <w:p w:rsidR="000D4DE6" w:rsidRDefault="00942877" w:rsidP="000D4DE6"/>
    <w:p w:rsidR="000D4DE6" w:rsidRDefault="00942877" w:rsidP="000D4DE6">
      <w:r>
        <w:t>Other negotiators, more inclined to support the new language, but also with some of their own requests for modification, countered with the harm that could come from false claims and the financial and regulat</w:t>
      </w:r>
      <w:r>
        <w:t>ory burden that still would have considerable impact on smaller institutions in particular.</w:t>
      </w:r>
    </w:p>
    <w:p w:rsidR="000D4DE6" w:rsidRDefault="00942877" w:rsidP="000D4DE6"/>
    <w:p w:rsidR="000D4DE6" w:rsidRDefault="00942877" w:rsidP="000D4DE6">
      <w:r>
        <w:t>Both sides repeatedly returned to observations and took turns attempting to sway the Department and each other of their views on specific terms, language, and defi</w:t>
      </w:r>
      <w:r>
        <w:t>nitions used throughout Issue Papers 1 and 4, spending considerable time on “misrepresentation”, “materiality standard”, “reasonability clause”, in addition to those previously mentioned above.</w:t>
      </w:r>
    </w:p>
    <w:p w:rsidR="000D4DE6" w:rsidRDefault="00942877" w:rsidP="000D4DE6"/>
    <w:p w:rsidR="000D4DE6" w:rsidRDefault="00942877" w:rsidP="000D4DE6">
      <w:r>
        <w:lastRenderedPageBreak/>
        <w:t>The long and the short of it is that there are considerable d</w:t>
      </w:r>
      <w:r>
        <w:t>ifferences of opinion regarding the most general of the eight Issue Papers, which are compounded by even greater views and concerns primarily with the regulatory proposals contained in the next three Issue Papers.</w:t>
      </w:r>
    </w:p>
    <w:p w:rsidR="000D4DE6" w:rsidRDefault="00942877" w:rsidP="000D4DE6"/>
    <w:p w:rsidR="000D4DE6" w:rsidRPr="005B0BF5" w:rsidRDefault="00942877" w:rsidP="000D4DE6">
      <w:pPr>
        <w:rPr>
          <w:b/>
        </w:rPr>
      </w:pPr>
      <w:r w:rsidRPr="005B0BF5">
        <w:rPr>
          <w:b/>
        </w:rPr>
        <w:t>Issue Paper 2 – Regulatory Framework</w:t>
      </w:r>
    </w:p>
    <w:p w:rsidR="000D4DE6" w:rsidRDefault="00942877" w:rsidP="000D4DE6">
      <w:r>
        <w:t>Would establish a regulatory framework for processing BD claims for Direct Loans first disbursed on or after July 1, 2019, including provisions for:</w:t>
      </w:r>
    </w:p>
    <w:p w:rsidR="000D4DE6" w:rsidRDefault="00942877" w:rsidP="000D4DE6">
      <w:pPr>
        <w:pStyle w:val="ListParagraph"/>
        <w:numPr>
          <w:ilvl w:val="0"/>
          <w:numId w:val="6"/>
        </w:numPr>
      </w:pPr>
      <w:r>
        <w:t>Forbearance</w:t>
      </w:r>
    </w:p>
    <w:p w:rsidR="000D4DE6" w:rsidRDefault="00942877" w:rsidP="000D4DE6">
      <w:pPr>
        <w:pStyle w:val="ListParagraph"/>
        <w:numPr>
          <w:ilvl w:val="0"/>
          <w:numId w:val="6"/>
        </w:numPr>
      </w:pPr>
      <w:r>
        <w:t>The application process</w:t>
      </w:r>
    </w:p>
    <w:p w:rsidR="000D4DE6" w:rsidRDefault="00942877" w:rsidP="000D4DE6">
      <w:pPr>
        <w:pStyle w:val="ListParagraph"/>
        <w:numPr>
          <w:ilvl w:val="0"/>
          <w:numId w:val="6"/>
        </w:numPr>
      </w:pPr>
      <w:r>
        <w:t>Adjudication of a BD claim</w:t>
      </w:r>
    </w:p>
    <w:p w:rsidR="000D4DE6" w:rsidRDefault="00942877" w:rsidP="000D4DE6">
      <w:pPr>
        <w:pStyle w:val="ListParagraph"/>
        <w:numPr>
          <w:ilvl w:val="0"/>
          <w:numId w:val="6"/>
        </w:numPr>
      </w:pPr>
      <w:r>
        <w:t>Notification of the borrower and school of t</w:t>
      </w:r>
      <w:r>
        <w:t>he Department’s decision</w:t>
      </w:r>
    </w:p>
    <w:p w:rsidR="000D4DE6" w:rsidRDefault="00942877" w:rsidP="000D4DE6">
      <w:pPr>
        <w:pStyle w:val="ListParagraph"/>
        <w:numPr>
          <w:ilvl w:val="0"/>
          <w:numId w:val="6"/>
        </w:numPr>
      </w:pPr>
      <w:r>
        <w:t>Reconsideration of denials</w:t>
      </w:r>
    </w:p>
    <w:p w:rsidR="000D4DE6" w:rsidRDefault="00942877" w:rsidP="000D4DE6">
      <w:pPr>
        <w:pStyle w:val="ListParagraph"/>
        <w:numPr>
          <w:ilvl w:val="0"/>
          <w:numId w:val="6"/>
        </w:numPr>
      </w:pPr>
      <w:r>
        <w:t>Relief that a borrower may receive if a BD claim is approved</w:t>
      </w:r>
    </w:p>
    <w:p w:rsidR="000D4DE6" w:rsidRDefault="00942877" w:rsidP="000D4DE6"/>
    <w:p w:rsidR="000D4DE6" w:rsidRPr="005B0BF5" w:rsidRDefault="00942877" w:rsidP="000D4DE6">
      <w:pPr>
        <w:rPr>
          <w:u w:val="single"/>
        </w:rPr>
      </w:pPr>
      <w:r w:rsidRPr="005B0BF5">
        <w:rPr>
          <w:u w:val="single"/>
        </w:rPr>
        <w:t>Summary</w:t>
      </w:r>
    </w:p>
    <w:p w:rsidR="000D4DE6" w:rsidRDefault="00942877" w:rsidP="000D4DE6">
      <w:r>
        <w:t>As was the case with the more philosophical Issue Paper 1, there is also considerable differences of opinion regarding the practical f</w:t>
      </w:r>
      <w:r>
        <w:t>ramework proposed under Issue Paper 2.  Key concepts and discussions regarding this key portion of the proposals once again broke down along the lines of the perspective of the negotiator and the constituency she or he represents.</w:t>
      </w:r>
    </w:p>
    <w:p w:rsidR="000D4DE6" w:rsidRDefault="00942877" w:rsidP="000D4DE6"/>
    <w:p w:rsidR="000D4DE6" w:rsidRDefault="00942877" w:rsidP="000D4DE6">
      <w:r>
        <w:t>Those opposed once again</w:t>
      </w:r>
      <w:r>
        <w:t xml:space="preserve"> took issue with many of the new provisions of the process in its entirety, from the required submission of applications showing harm, to the Department’s evaluation and adjudication process – inclusive of information from the institution, and the burden o</w:t>
      </w:r>
      <w:r>
        <w:t>f proof both initially and on appeal.</w:t>
      </w:r>
    </w:p>
    <w:p w:rsidR="000D4DE6" w:rsidRDefault="00942877" w:rsidP="000D4DE6"/>
    <w:p w:rsidR="000D4DE6" w:rsidRDefault="00942877" w:rsidP="000D4DE6">
      <w:r>
        <w:t xml:space="preserve">Those generally more supportive of the new proposal expressed observations and recommendations regarding how to </w:t>
      </w:r>
    </w:p>
    <w:p w:rsidR="000D4DE6" w:rsidRDefault="00942877" w:rsidP="000D4DE6"/>
    <w:p w:rsidR="000D4DE6" w:rsidRDefault="00942877" w:rsidP="000D4DE6">
      <w:r>
        <w:t xml:space="preserve">Ironically, neither group supported the Department’s recommendations outlining how borrowers would </w:t>
      </w:r>
      <w:r>
        <w:t>submit information showing the financial harm suffered as a result of willful misrepresentation based upon earnings data.  For entirely different reasons, both sides offered concerns regarding how complex and complicated it would be to use earnings data as</w:t>
      </w:r>
      <w:r>
        <w:t xml:space="preserve"> the basis for a claim.</w:t>
      </w:r>
    </w:p>
    <w:p w:rsidR="000D4DE6" w:rsidRDefault="00942877" w:rsidP="000D4DE6"/>
    <w:p w:rsidR="000D4DE6" w:rsidRDefault="00942877" w:rsidP="000D4DE6">
      <w:r>
        <w:t>While common ground seemed to be within reach on some of the topics of discussion, the views on many were as polarized as those noted above in the summary of Issue Paper 1.</w:t>
      </w:r>
    </w:p>
    <w:p w:rsidR="00523E2A" w:rsidRDefault="00942877" w:rsidP="000D4DE6"/>
    <w:p w:rsidR="000D4DE6" w:rsidRPr="005B0BF5" w:rsidRDefault="00942877" w:rsidP="000D4DE6">
      <w:pPr>
        <w:rPr>
          <w:b/>
          <w:u w:val="single"/>
        </w:rPr>
      </w:pPr>
      <w:r w:rsidRPr="005B0BF5">
        <w:rPr>
          <w:b/>
          <w:u w:val="single"/>
        </w:rPr>
        <w:t>Issue Paper 3 – Financial Responsibility and Administrati</w:t>
      </w:r>
      <w:r w:rsidRPr="005B0BF5">
        <w:rPr>
          <w:b/>
          <w:u w:val="single"/>
        </w:rPr>
        <w:t>ve Capability</w:t>
      </w:r>
    </w:p>
    <w:p w:rsidR="000D4DE6" w:rsidRDefault="00942877" w:rsidP="000D4DE6">
      <w:r>
        <w:t>Institutions determined not to be financially responsible would have additional financial protections placed upon them.  And, institutions that incur debt and liabilities from borrower defense claims would have their composite scores recalcul</w:t>
      </w:r>
      <w:r>
        <w:t>ated.</w:t>
      </w:r>
    </w:p>
    <w:p w:rsidR="000D4DE6" w:rsidRDefault="00942877" w:rsidP="000D4DE6"/>
    <w:p w:rsidR="000D4DE6" w:rsidRPr="005B0BF5" w:rsidRDefault="00942877" w:rsidP="000D4DE6">
      <w:pPr>
        <w:rPr>
          <w:u w:val="single"/>
        </w:rPr>
      </w:pPr>
      <w:r w:rsidRPr="005B0BF5">
        <w:rPr>
          <w:u w:val="single"/>
        </w:rPr>
        <w:t>Summary</w:t>
      </w:r>
    </w:p>
    <w:p w:rsidR="000D4DE6" w:rsidRDefault="00942877" w:rsidP="000D4DE6">
      <w:r>
        <w:t xml:space="preserve">Despite the favorable provisions contained within the proposed regulation, several institutional negotiators continued to share their concerns regarding the impact of recalculation of </w:t>
      </w:r>
      <w:r>
        <w:lastRenderedPageBreak/>
        <w:t xml:space="preserve">institution’s composite scores.  Several recommendations </w:t>
      </w:r>
      <w:r>
        <w:t>were offered for further Department consideration.</w:t>
      </w:r>
    </w:p>
    <w:p w:rsidR="000D4DE6" w:rsidRDefault="00942877" w:rsidP="000D4DE6"/>
    <w:p w:rsidR="000D4DE6" w:rsidRDefault="00942877" w:rsidP="000D4DE6">
      <w:r>
        <w:t>Supporters of the prior regulation expressed frustration with the repeal of the use of automatic triggers and the “narrow” application of the proposed regulation only after adjudication.</w:t>
      </w:r>
    </w:p>
    <w:p w:rsidR="005B0BF5" w:rsidRDefault="00942877" w:rsidP="000D4DE6"/>
    <w:p w:rsidR="000D4DE6" w:rsidRPr="005B0BF5" w:rsidRDefault="00942877" w:rsidP="000D4DE6">
      <w:pPr>
        <w:rPr>
          <w:b/>
        </w:rPr>
      </w:pPr>
      <w:r w:rsidRPr="005B0BF5">
        <w:rPr>
          <w:b/>
        </w:rPr>
        <w:t xml:space="preserve">Issue Paper 4 – </w:t>
      </w:r>
      <w:r w:rsidRPr="005B0BF5">
        <w:rPr>
          <w:b/>
        </w:rPr>
        <w:t>Pre-dispute Arbitration Agreements, Class Action Waivers, &amp; Internal Dispute Process</w:t>
      </w:r>
    </w:p>
    <w:p w:rsidR="000D4DE6" w:rsidRDefault="00942877" w:rsidP="000D4DE6">
      <w:r>
        <w:t>To facilitate transparency and fully inform prospective, enrolled, and departing students, the proposed regulation would:</w:t>
      </w:r>
    </w:p>
    <w:p w:rsidR="000D4DE6" w:rsidRDefault="00942877" w:rsidP="000D4DE6"/>
    <w:p w:rsidR="000D4DE6" w:rsidRDefault="00942877" w:rsidP="000D4DE6">
      <w:pPr>
        <w:pStyle w:val="ListParagraph"/>
        <w:numPr>
          <w:ilvl w:val="0"/>
          <w:numId w:val="7"/>
        </w:numPr>
      </w:pPr>
      <w:r>
        <w:t>Amend “Reporting and disclosure information” (Se</w:t>
      </w:r>
      <w:r>
        <w:t>ction 668.41) to:</w:t>
      </w:r>
    </w:p>
    <w:p w:rsidR="000D4DE6" w:rsidRDefault="00942877" w:rsidP="000D4DE6">
      <w:pPr>
        <w:pStyle w:val="ListParagraph"/>
        <w:numPr>
          <w:ilvl w:val="0"/>
          <w:numId w:val="8"/>
        </w:numPr>
        <w:ind w:left="1080"/>
      </w:pPr>
      <w:r>
        <w:t>Require schools that use pre-dispute arbitration agreements and/or class action waivers to disclose that information in an easily accessible format for students, prospective students, and the public; and</w:t>
      </w:r>
    </w:p>
    <w:p w:rsidR="000D4DE6" w:rsidRDefault="00942877" w:rsidP="000D4DE6">
      <w:pPr>
        <w:pStyle w:val="ListParagraph"/>
        <w:numPr>
          <w:ilvl w:val="0"/>
          <w:numId w:val="8"/>
        </w:numPr>
        <w:ind w:left="1080"/>
      </w:pPr>
      <w:r>
        <w:t>Require these schools to provide a</w:t>
      </w:r>
      <w:r>
        <w:t>n annual notification of this information to enrolled students.</w:t>
      </w:r>
    </w:p>
    <w:p w:rsidR="000D4DE6" w:rsidRDefault="00942877" w:rsidP="000D4DE6">
      <w:pPr>
        <w:ind w:left="360"/>
      </w:pPr>
    </w:p>
    <w:p w:rsidR="000D4DE6" w:rsidRDefault="00942877" w:rsidP="000D4DE6">
      <w:pPr>
        <w:pStyle w:val="ListParagraph"/>
        <w:numPr>
          <w:ilvl w:val="0"/>
          <w:numId w:val="7"/>
        </w:numPr>
      </w:pPr>
      <w:r>
        <w:t>Amend “Counseling borrowers” (Section 685.304) to include a requirement (similar to the current requirement that schools provide information regarding the FSA Ombudsman) that the school revie</w:t>
      </w:r>
      <w:r>
        <w:t>w with the student borrower information on the availability of the school’s internal dispute resolution process and provide to the student a written disclosure explaining an internal dispute process;</w:t>
      </w:r>
    </w:p>
    <w:p w:rsidR="000D4DE6" w:rsidRDefault="00942877" w:rsidP="000D4DE6"/>
    <w:p w:rsidR="000D4DE6" w:rsidRDefault="00942877" w:rsidP="000D4DE6">
      <w:pPr>
        <w:pStyle w:val="ListParagraph"/>
        <w:numPr>
          <w:ilvl w:val="0"/>
          <w:numId w:val="7"/>
        </w:numPr>
      </w:pPr>
      <w:r>
        <w:t>Amend “Counseling borrowers” (Section 685.304) to inclu</w:t>
      </w:r>
      <w:r>
        <w:t>de a requirement for schools using pre-dispute arbitration agreements and/or class action waivers, that the school review with the student borrower the pre-dispute arbitration and/or class action waiver process.</w:t>
      </w:r>
    </w:p>
    <w:p w:rsidR="000D4DE6" w:rsidRDefault="00942877" w:rsidP="000D4DE6"/>
    <w:p w:rsidR="000D4DE6" w:rsidRPr="005B0BF5" w:rsidRDefault="00942877" w:rsidP="000D4DE6">
      <w:pPr>
        <w:rPr>
          <w:u w:val="single"/>
        </w:rPr>
      </w:pPr>
      <w:r w:rsidRPr="005B0BF5">
        <w:rPr>
          <w:u w:val="single"/>
        </w:rPr>
        <w:t>Summary</w:t>
      </w:r>
    </w:p>
    <w:p w:rsidR="000D4DE6" w:rsidRDefault="00942877" w:rsidP="000D4DE6">
      <w:r>
        <w:t>State Attorneys General, student ad</w:t>
      </w:r>
      <w:r>
        <w:t>vocates, legal assistance, and other supporters of the prior regulation and the elimination of the arbitration clauses are incensed by the proposed revisions.</w:t>
      </w:r>
    </w:p>
    <w:p w:rsidR="000D4DE6" w:rsidRDefault="00942877" w:rsidP="000D4DE6"/>
    <w:p w:rsidR="000D4DE6" w:rsidRDefault="00942877" w:rsidP="000D4DE6">
      <w:r>
        <w:t xml:space="preserve">Other </w:t>
      </w:r>
      <w:r>
        <w:t xml:space="preserve">institutional </w:t>
      </w:r>
      <w:r>
        <w:t xml:space="preserve">negotiators offered recommendations once again designed to address specific </w:t>
      </w:r>
      <w:r>
        <w:t>concerns related to the proposed regulation, and there seemed to be some support for the direction that this proposal is headed even from the most ardent supporters of the prior regulations.</w:t>
      </w:r>
    </w:p>
    <w:p w:rsidR="000D4DE6" w:rsidRDefault="00942877" w:rsidP="000D4DE6"/>
    <w:p w:rsidR="000D4DE6" w:rsidRPr="005B0BF5" w:rsidRDefault="00942877" w:rsidP="000D4DE6">
      <w:pPr>
        <w:rPr>
          <w:b/>
        </w:rPr>
      </w:pPr>
      <w:r w:rsidRPr="005B0BF5">
        <w:rPr>
          <w:b/>
        </w:rPr>
        <w:t>Issue Paper 5 – Closed School Discharge</w:t>
      </w:r>
    </w:p>
    <w:p w:rsidR="000D4DE6" w:rsidRDefault="00942877" w:rsidP="000D4DE6">
      <w:r>
        <w:t>Would amend the applicat</w:t>
      </w:r>
      <w:r>
        <w:t xml:space="preserve">ion requirements for closed school discharges to reflect current practice, which requires that a borrower applying for a closed school discharge submit a completed application form, rather than a sworn statement.  The proposed regulation would also expand </w:t>
      </w:r>
      <w:r>
        <w:t>the window for closed school discharges from 120 to 150 days.</w:t>
      </w:r>
    </w:p>
    <w:p w:rsidR="000D4DE6" w:rsidRDefault="00942877" w:rsidP="000D4DE6"/>
    <w:p w:rsidR="000D4DE6" w:rsidRPr="005B0BF5" w:rsidRDefault="00942877" w:rsidP="000D4DE6">
      <w:pPr>
        <w:rPr>
          <w:u w:val="single"/>
        </w:rPr>
      </w:pPr>
      <w:r w:rsidRPr="005B0BF5">
        <w:rPr>
          <w:u w:val="single"/>
        </w:rPr>
        <w:t>Summary</w:t>
      </w:r>
    </w:p>
    <w:p w:rsidR="000D4DE6" w:rsidRDefault="00942877" w:rsidP="000D4DE6">
      <w:r>
        <w:lastRenderedPageBreak/>
        <w:t xml:space="preserve">Several key issues discussed surrounding closed school discharges, aside from the obvious 30 additional 30 days for students who withdrew before a school closes, included how to handle </w:t>
      </w:r>
      <w:r>
        <w:t>additional location closures, the prospect of student eligibility for automatic discharge, and schools that close surreptitiously and those that properly transition students and close with proper warnings.</w:t>
      </w:r>
    </w:p>
    <w:p w:rsidR="000D4DE6" w:rsidRDefault="00942877" w:rsidP="000D4DE6"/>
    <w:p w:rsidR="000D4DE6" w:rsidRDefault="00942877" w:rsidP="000D4DE6">
      <w:r>
        <w:t>While many concepts were offered and discussed, t</w:t>
      </w:r>
      <w:r>
        <w:t>here again seems to be no consensus.</w:t>
      </w:r>
    </w:p>
    <w:p w:rsidR="005B0BF5" w:rsidRDefault="00942877" w:rsidP="000D4DE6"/>
    <w:p w:rsidR="000D4DE6" w:rsidRPr="005B0BF5" w:rsidRDefault="00942877" w:rsidP="000D4DE6">
      <w:pPr>
        <w:rPr>
          <w:b/>
        </w:rPr>
      </w:pPr>
      <w:r w:rsidRPr="005B0BF5">
        <w:rPr>
          <w:b/>
        </w:rPr>
        <w:t>Issue Paper 6 – False Certification</w:t>
      </w:r>
    </w:p>
    <w:p w:rsidR="000D4DE6" w:rsidRDefault="00942877" w:rsidP="000D4DE6">
      <w:r>
        <w:t xml:space="preserve">Would amend application requirements for false certification discharges to reflect current practice, which requires that a borrower applying for a false certification discharge </w:t>
      </w:r>
      <w:r>
        <w:t>submit a completed application form, rather than a sworn statement.  The proposed regulation would also update the regulatory requirements regarding false certification of eligibility of non-high school graduates for Direct Loans.</w:t>
      </w:r>
    </w:p>
    <w:p w:rsidR="000D4DE6" w:rsidRDefault="00942877" w:rsidP="000D4DE6"/>
    <w:p w:rsidR="000D4DE6" w:rsidRPr="005B0BF5" w:rsidRDefault="00942877" w:rsidP="000D4DE6">
      <w:pPr>
        <w:rPr>
          <w:u w:val="single"/>
        </w:rPr>
      </w:pPr>
      <w:r w:rsidRPr="005B0BF5">
        <w:rPr>
          <w:u w:val="single"/>
        </w:rPr>
        <w:t>Summary</w:t>
      </w:r>
    </w:p>
    <w:p w:rsidR="000D4DE6" w:rsidRDefault="00942877" w:rsidP="000D4DE6">
      <w:r>
        <w:t>Unlike the Close</w:t>
      </w:r>
      <w:r>
        <w:t>d School Certification discussions, the False Certification discussions were the beginning of what appeared to be unilateral support for this and the last two Department proposals.  While some clarifying recommendations were offered to improve the proposal</w:t>
      </w:r>
      <w:r>
        <w:t>, the discussion seemed to suggest that the Committee members supported this proposal.</w:t>
      </w:r>
    </w:p>
    <w:p w:rsidR="000D4DE6" w:rsidRDefault="00942877" w:rsidP="000D4DE6"/>
    <w:p w:rsidR="000D4DE6" w:rsidRPr="005B0BF5" w:rsidRDefault="00942877" w:rsidP="000D4DE6">
      <w:pPr>
        <w:rPr>
          <w:b/>
        </w:rPr>
      </w:pPr>
      <w:r w:rsidRPr="005B0BF5">
        <w:rPr>
          <w:b/>
        </w:rPr>
        <w:t>Issue Paper 7 – Guaranty Agency Collection Fees</w:t>
      </w:r>
    </w:p>
    <w:p w:rsidR="000D4DE6" w:rsidRDefault="00942877" w:rsidP="000D4DE6">
      <w:r>
        <w:t>The proposed regulation would prospectively bar guaranty agencies from charging collection costs to a defaulted borrower</w:t>
      </w:r>
      <w:r>
        <w:t xml:space="preserve"> who enters into repayment agreement with the guaranty agency within 60 days of receiving notice of default from the agency.</w:t>
      </w:r>
    </w:p>
    <w:p w:rsidR="000D4DE6" w:rsidRDefault="00942877" w:rsidP="000D4DE6"/>
    <w:p w:rsidR="000D4DE6" w:rsidRPr="005B0BF5" w:rsidRDefault="00942877" w:rsidP="000D4DE6">
      <w:pPr>
        <w:rPr>
          <w:u w:val="single"/>
        </w:rPr>
      </w:pPr>
      <w:r w:rsidRPr="005B0BF5">
        <w:rPr>
          <w:u w:val="single"/>
        </w:rPr>
        <w:t>Summary</w:t>
      </w:r>
    </w:p>
    <w:p w:rsidR="000D4DE6" w:rsidRDefault="00942877" w:rsidP="000D4DE6">
      <w:r>
        <w:t>With very little discussion, the negotiators at the table appeared willing to support the Department’s recommended regulat</w:t>
      </w:r>
      <w:r>
        <w:t xml:space="preserve">ory revisions barring GA’s from charging any future collection fees under the terms noted above.  However, during the public comment portion of the final day’s negotiations, individuals representing similar interests expressed their vehement opposition to </w:t>
      </w:r>
      <w:r>
        <w:t>the proposals.</w:t>
      </w:r>
    </w:p>
    <w:p w:rsidR="0048781A" w:rsidRDefault="00942877" w:rsidP="000D4DE6"/>
    <w:p w:rsidR="000D4DE6" w:rsidRPr="005B0BF5" w:rsidRDefault="00942877" w:rsidP="000D4DE6">
      <w:pPr>
        <w:rPr>
          <w:b/>
        </w:rPr>
      </w:pPr>
      <w:r w:rsidRPr="005B0BF5">
        <w:rPr>
          <w:b/>
        </w:rPr>
        <w:t>Issue Paper 8 – Recalculation of Borrower’s Subsidized Usage Period and Interest Accrual</w:t>
      </w:r>
    </w:p>
    <w:p w:rsidR="000D4DE6" w:rsidRDefault="00942877" w:rsidP="000D4DE6">
      <w:r>
        <w:t>The proposed regulation would either eliminate or require a recalculation of the subsidized usage period and, if applicable, restore interest subsidy a</w:t>
      </w:r>
      <w:r>
        <w:t>ssociated with the Direct Stafford Loan(s) fully or partially discharged based on school closure, false certification, unpaid refund, or borrower defense.</w:t>
      </w:r>
    </w:p>
    <w:p w:rsidR="000D4DE6" w:rsidRDefault="00942877" w:rsidP="000D4DE6"/>
    <w:p w:rsidR="000D4DE6" w:rsidRPr="005B0BF5" w:rsidRDefault="00942877" w:rsidP="000D4DE6">
      <w:pPr>
        <w:rPr>
          <w:u w:val="single"/>
        </w:rPr>
      </w:pPr>
      <w:r w:rsidRPr="005B0BF5">
        <w:rPr>
          <w:u w:val="single"/>
        </w:rPr>
        <w:t>Summary</w:t>
      </w:r>
    </w:p>
    <w:p w:rsidR="000D4DE6" w:rsidRDefault="00942877" w:rsidP="000D4DE6">
      <w:r>
        <w:t xml:space="preserve">With basically little to no discussion, and what appeared to be little to no opposition as </w:t>
      </w:r>
      <w:r>
        <w:t>well, the negotiators didn’t really have much to say about this particular proposal.</w:t>
      </w:r>
    </w:p>
    <w:p w:rsidR="000D4DE6" w:rsidRDefault="00942877" w:rsidP="000D4DE6"/>
    <w:p w:rsidR="007A2C20" w:rsidRDefault="00942877" w:rsidP="000D4DE6"/>
    <w:p w:rsidR="007A2C20" w:rsidRDefault="00942877" w:rsidP="000D4DE6"/>
    <w:p w:rsidR="007A2C20" w:rsidRDefault="00942877" w:rsidP="000D4DE6"/>
    <w:p w:rsidR="000D4DE6" w:rsidRPr="005B0BF5" w:rsidRDefault="00942877" w:rsidP="000D4DE6">
      <w:pPr>
        <w:rPr>
          <w:b/>
        </w:rPr>
      </w:pPr>
      <w:r w:rsidRPr="005B0BF5">
        <w:rPr>
          <w:b/>
        </w:rPr>
        <w:lastRenderedPageBreak/>
        <w:t xml:space="preserve">Financial Responsibility Subcommittee: </w:t>
      </w:r>
    </w:p>
    <w:p w:rsidR="000D4DE6" w:rsidRPr="005B0BF5" w:rsidRDefault="00942877" w:rsidP="000D4DE6">
      <w:pPr>
        <w:rPr>
          <w:b/>
        </w:rPr>
      </w:pPr>
      <w:r w:rsidRPr="005B0BF5">
        <w:rPr>
          <w:b/>
        </w:rPr>
        <w:t xml:space="preserve">Issue Paper 2 - </w:t>
      </w:r>
      <w:r w:rsidRPr="005B0BF5">
        <w:rPr>
          <w:b/>
          <w:bCs/>
        </w:rPr>
        <w:t>Financial Accounting Standards Board (FASB) Accounting Standards Update, ASU 2016-2, Leases (Topic 842), and th</w:t>
      </w:r>
      <w:r w:rsidRPr="005B0BF5">
        <w:rPr>
          <w:b/>
          <w:bCs/>
        </w:rPr>
        <w:t>e Department’s Financial Responsibility Standards</w:t>
      </w:r>
    </w:p>
    <w:p w:rsidR="000D4DE6" w:rsidRDefault="00942877" w:rsidP="000D4DE6"/>
    <w:p w:rsidR="000D4DE6" w:rsidRPr="005B0BF5" w:rsidRDefault="00942877" w:rsidP="000D4DE6">
      <w:pPr>
        <w:rPr>
          <w:u w:val="single"/>
        </w:rPr>
      </w:pPr>
      <w:r w:rsidRPr="005B0BF5">
        <w:rPr>
          <w:u w:val="single"/>
        </w:rPr>
        <w:t>Summary</w:t>
      </w:r>
    </w:p>
    <w:p w:rsidR="0044204D" w:rsidRDefault="00942877" w:rsidP="0044204D">
      <w:r>
        <w:t xml:space="preserve">One of the </w:t>
      </w:r>
      <w:r w:rsidRPr="0044204D">
        <w:t>biggest issue</w:t>
      </w:r>
      <w:r>
        <w:t xml:space="preserve">s in the proposed </w:t>
      </w:r>
      <w:r>
        <w:t>regulations</w:t>
      </w:r>
      <w:r>
        <w:t xml:space="preserve"> </w:t>
      </w:r>
      <w:r w:rsidRPr="0044204D">
        <w:t>is not the actual borrower defense process, but rather the proposed changes to the financial responsibility regulations with respect to account</w:t>
      </w:r>
      <w:r w:rsidRPr="0044204D">
        <w:t xml:space="preserve">ing rule changes for leases. </w:t>
      </w:r>
    </w:p>
    <w:p w:rsidR="0044204D" w:rsidRDefault="00942877" w:rsidP="0044204D"/>
    <w:p w:rsidR="0044204D" w:rsidRDefault="00942877" w:rsidP="0044204D">
      <w:r w:rsidRPr="0044204D">
        <w:t xml:space="preserve">The Financial Accounting Standards Board made changes the accounting rules for leases that </w:t>
      </w:r>
      <w:r>
        <w:t xml:space="preserve">went into effect several years ago, which many institutions from all sectors are only now fully implementing.  These changes </w:t>
      </w:r>
      <w:r w:rsidRPr="0044204D">
        <w:t>will defi</w:t>
      </w:r>
      <w:r w:rsidRPr="0044204D">
        <w:t xml:space="preserve">nitely have </w:t>
      </w:r>
      <w:r>
        <w:t>a negative impact on our community if additional time and support are not added to the proposed regulations</w:t>
      </w:r>
      <w:r w:rsidRPr="0044204D">
        <w:t xml:space="preserve">. </w:t>
      </w:r>
    </w:p>
    <w:p w:rsidR="0044204D" w:rsidRDefault="00942877" w:rsidP="0044204D"/>
    <w:p w:rsidR="00FB2EA7" w:rsidRDefault="00942877">
      <w:r>
        <w:t>The Committee 1 negotiators have already requested that the Financial Responsibility S</w:t>
      </w:r>
      <w:r w:rsidRPr="0044204D">
        <w:t>ub</w:t>
      </w:r>
      <w:r>
        <w:t xml:space="preserve">committee consider going further than </w:t>
      </w:r>
      <w:r w:rsidRPr="0044204D">
        <w:t xml:space="preserve">their initial proposal </w:t>
      </w:r>
      <w:r>
        <w:t xml:space="preserve">which </w:t>
      </w:r>
      <w:r w:rsidRPr="0044204D">
        <w:t>provides some temporary relief to allow schools to transition in</w:t>
      </w:r>
      <w:r>
        <w:t>to this new accounting reality.</w:t>
      </w:r>
    </w:p>
    <w:p w:rsidR="003D4A28" w:rsidRDefault="00942877"/>
    <w:p w:rsidR="003D4A28" w:rsidRDefault="00942877">
      <w:r>
        <w:t>To assist the Subcommittee in their efforts to develop final proposals, the community needs to act quickly to develop and submit a</w:t>
      </w:r>
      <w:r>
        <w:t>dditional information to help drive home the need for additional changes.</w:t>
      </w:r>
    </w:p>
    <w:sectPr w:rsidR="003D4A2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877" w:rsidRDefault="00942877">
      <w:r>
        <w:separator/>
      </w:r>
    </w:p>
  </w:endnote>
  <w:endnote w:type="continuationSeparator" w:id="0">
    <w:p w:rsidR="00942877" w:rsidRDefault="00942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5A5" w:rsidRDefault="00942877">
    <w:pPr>
      <w:pStyle w:val="DocID"/>
    </w:pPr>
    <w:bookmarkStart w:id="1" w:name="_iDocIDFieldf22d57e1-61ab-4161-af76-6c80"/>
    <w:r>
      <w:t>43821671;1</w:t>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86E" w:rsidRDefault="009428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5A5" w:rsidRDefault="00942877">
    <w:pPr>
      <w:pStyle w:val="DocID"/>
    </w:pPr>
    <w:bookmarkStart w:id="2" w:name="_iDocIDField29b104e9-11bc-4f95-b8ae-f180"/>
    <w:r>
      <w:t>43821671;1</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877" w:rsidRDefault="00942877">
      <w:r>
        <w:separator/>
      </w:r>
    </w:p>
  </w:footnote>
  <w:footnote w:type="continuationSeparator" w:id="0">
    <w:p w:rsidR="00942877" w:rsidRDefault="00942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86E" w:rsidRDefault="009428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86E" w:rsidRDefault="009428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86E" w:rsidRDefault="009428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7B24A54"/>
    <w:lvl w:ilvl="0">
      <w:start w:val="1"/>
      <w:numFmt w:val="bullet"/>
      <w:pStyle w:val="ListBullet2"/>
      <w:lvlText w:val=""/>
      <w:lvlJc w:val="left"/>
      <w:pPr>
        <w:tabs>
          <w:tab w:val="num" w:pos="1440"/>
        </w:tabs>
        <w:ind w:left="1440" w:hanging="720"/>
      </w:pPr>
      <w:rPr>
        <w:rFonts w:ascii="Symbol" w:hAnsi="Symbol" w:hint="default"/>
      </w:rPr>
    </w:lvl>
  </w:abstractNum>
  <w:abstractNum w:abstractNumId="1" w15:restartNumberingAfterBreak="0">
    <w:nsid w:val="FFFFFF89"/>
    <w:multiLevelType w:val="singleLevel"/>
    <w:tmpl w:val="69AECC06"/>
    <w:lvl w:ilvl="0">
      <w:start w:val="1"/>
      <w:numFmt w:val="bullet"/>
      <w:pStyle w:val="ListBullet"/>
      <w:lvlText w:val=""/>
      <w:lvlJc w:val="left"/>
      <w:pPr>
        <w:tabs>
          <w:tab w:val="num" w:pos="720"/>
        </w:tabs>
        <w:ind w:left="720" w:hanging="720"/>
      </w:pPr>
      <w:rPr>
        <w:rFonts w:ascii="Symbol" w:hAnsi="Symbol" w:hint="default"/>
      </w:rPr>
    </w:lvl>
  </w:abstractNum>
  <w:abstractNum w:abstractNumId="2" w15:restartNumberingAfterBreak="0">
    <w:nsid w:val="1E030F37"/>
    <w:multiLevelType w:val="hybridMultilevel"/>
    <w:tmpl w:val="B96ABFD6"/>
    <w:lvl w:ilvl="0" w:tplc="4FF6E62A">
      <w:start w:val="1"/>
      <w:numFmt w:val="decimal"/>
      <w:lvlText w:val="%1)"/>
      <w:lvlJc w:val="left"/>
      <w:pPr>
        <w:ind w:left="720" w:hanging="360"/>
      </w:pPr>
    </w:lvl>
    <w:lvl w:ilvl="1" w:tplc="964C61B0" w:tentative="1">
      <w:start w:val="1"/>
      <w:numFmt w:val="lowerLetter"/>
      <w:lvlText w:val="%2."/>
      <w:lvlJc w:val="left"/>
      <w:pPr>
        <w:ind w:left="1440" w:hanging="360"/>
      </w:pPr>
    </w:lvl>
    <w:lvl w:ilvl="2" w:tplc="1A9426B6" w:tentative="1">
      <w:start w:val="1"/>
      <w:numFmt w:val="lowerRoman"/>
      <w:lvlText w:val="%3."/>
      <w:lvlJc w:val="right"/>
      <w:pPr>
        <w:ind w:left="2160" w:hanging="180"/>
      </w:pPr>
    </w:lvl>
    <w:lvl w:ilvl="3" w:tplc="956618C2" w:tentative="1">
      <w:start w:val="1"/>
      <w:numFmt w:val="decimal"/>
      <w:lvlText w:val="%4."/>
      <w:lvlJc w:val="left"/>
      <w:pPr>
        <w:ind w:left="2880" w:hanging="360"/>
      </w:pPr>
    </w:lvl>
    <w:lvl w:ilvl="4" w:tplc="289E9394" w:tentative="1">
      <w:start w:val="1"/>
      <w:numFmt w:val="lowerLetter"/>
      <w:lvlText w:val="%5."/>
      <w:lvlJc w:val="left"/>
      <w:pPr>
        <w:ind w:left="3600" w:hanging="360"/>
      </w:pPr>
    </w:lvl>
    <w:lvl w:ilvl="5" w:tplc="F9AC077C" w:tentative="1">
      <w:start w:val="1"/>
      <w:numFmt w:val="lowerRoman"/>
      <w:lvlText w:val="%6."/>
      <w:lvlJc w:val="right"/>
      <w:pPr>
        <w:ind w:left="4320" w:hanging="180"/>
      </w:pPr>
    </w:lvl>
    <w:lvl w:ilvl="6" w:tplc="63CAC97C" w:tentative="1">
      <w:start w:val="1"/>
      <w:numFmt w:val="decimal"/>
      <w:lvlText w:val="%7."/>
      <w:lvlJc w:val="left"/>
      <w:pPr>
        <w:ind w:left="5040" w:hanging="360"/>
      </w:pPr>
    </w:lvl>
    <w:lvl w:ilvl="7" w:tplc="22127930" w:tentative="1">
      <w:start w:val="1"/>
      <w:numFmt w:val="lowerLetter"/>
      <w:lvlText w:val="%8."/>
      <w:lvlJc w:val="left"/>
      <w:pPr>
        <w:ind w:left="5760" w:hanging="360"/>
      </w:pPr>
    </w:lvl>
    <w:lvl w:ilvl="8" w:tplc="C4023DEA" w:tentative="1">
      <w:start w:val="1"/>
      <w:numFmt w:val="lowerRoman"/>
      <w:lvlText w:val="%9."/>
      <w:lvlJc w:val="right"/>
      <w:pPr>
        <w:ind w:left="6480" w:hanging="180"/>
      </w:pPr>
    </w:lvl>
  </w:abstractNum>
  <w:abstractNum w:abstractNumId="3" w15:restartNumberingAfterBreak="0">
    <w:nsid w:val="3D203591"/>
    <w:multiLevelType w:val="hybridMultilevel"/>
    <w:tmpl w:val="99E67DA0"/>
    <w:lvl w:ilvl="0" w:tplc="3EDC0828">
      <w:start w:val="1"/>
      <w:numFmt w:val="decimal"/>
      <w:lvlText w:val="%1)"/>
      <w:lvlJc w:val="left"/>
      <w:pPr>
        <w:ind w:left="720" w:hanging="360"/>
      </w:pPr>
    </w:lvl>
    <w:lvl w:ilvl="1" w:tplc="447496EC" w:tentative="1">
      <w:start w:val="1"/>
      <w:numFmt w:val="lowerLetter"/>
      <w:lvlText w:val="%2."/>
      <w:lvlJc w:val="left"/>
      <w:pPr>
        <w:ind w:left="1440" w:hanging="360"/>
      </w:pPr>
    </w:lvl>
    <w:lvl w:ilvl="2" w:tplc="44724740" w:tentative="1">
      <w:start w:val="1"/>
      <w:numFmt w:val="lowerRoman"/>
      <w:lvlText w:val="%3."/>
      <w:lvlJc w:val="right"/>
      <w:pPr>
        <w:ind w:left="2160" w:hanging="180"/>
      </w:pPr>
    </w:lvl>
    <w:lvl w:ilvl="3" w:tplc="DB968D2E" w:tentative="1">
      <w:start w:val="1"/>
      <w:numFmt w:val="decimal"/>
      <w:lvlText w:val="%4."/>
      <w:lvlJc w:val="left"/>
      <w:pPr>
        <w:ind w:left="2880" w:hanging="360"/>
      </w:pPr>
    </w:lvl>
    <w:lvl w:ilvl="4" w:tplc="801042E6" w:tentative="1">
      <w:start w:val="1"/>
      <w:numFmt w:val="lowerLetter"/>
      <w:lvlText w:val="%5."/>
      <w:lvlJc w:val="left"/>
      <w:pPr>
        <w:ind w:left="3600" w:hanging="360"/>
      </w:pPr>
    </w:lvl>
    <w:lvl w:ilvl="5" w:tplc="F06852EC" w:tentative="1">
      <w:start w:val="1"/>
      <w:numFmt w:val="lowerRoman"/>
      <w:lvlText w:val="%6."/>
      <w:lvlJc w:val="right"/>
      <w:pPr>
        <w:ind w:left="4320" w:hanging="180"/>
      </w:pPr>
    </w:lvl>
    <w:lvl w:ilvl="6" w:tplc="B8DAFC94" w:tentative="1">
      <w:start w:val="1"/>
      <w:numFmt w:val="decimal"/>
      <w:lvlText w:val="%7."/>
      <w:lvlJc w:val="left"/>
      <w:pPr>
        <w:ind w:left="5040" w:hanging="360"/>
      </w:pPr>
    </w:lvl>
    <w:lvl w:ilvl="7" w:tplc="76681852" w:tentative="1">
      <w:start w:val="1"/>
      <w:numFmt w:val="lowerLetter"/>
      <w:lvlText w:val="%8."/>
      <w:lvlJc w:val="left"/>
      <w:pPr>
        <w:ind w:left="5760" w:hanging="360"/>
      </w:pPr>
    </w:lvl>
    <w:lvl w:ilvl="8" w:tplc="85A21662" w:tentative="1">
      <w:start w:val="1"/>
      <w:numFmt w:val="lowerRoman"/>
      <w:lvlText w:val="%9."/>
      <w:lvlJc w:val="right"/>
      <w:pPr>
        <w:ind w:left="6480" w:hanging="180"/>
      </w:pPr>
    </w:lvl>
  </w:abstractNum>
  <w:abstractNum w:abstractNumId="4" w15:restartNumberingAfterBreak="0">
    <w:nsid w:val="3EA8010E"/>
    <w:multiLevelType w:val="hybridMultilevel"/>
    <w:tmpl w:val="3E1C1C34"/>
    <w:lvl w:ilvl="0" w:tplc="0B7E342E">
      <w:start w:val="1"/>
      <w:numFmt w:val="bullet"/>
      <w:lvlText w:val=""/>
      <w:lvlJc w:val="left"/>
      <w:pPr>
        <w:ind w:left="720" w:hanging="360"/>
      </w:pPr>
      <w:rPr>
        <w:rFonts w:ascii="Symbol" w:hAnsi="Symbol" w:hint="default"/>
      </w:rPr>
    </w:lvl>
    <w:lvl w:ilvl="1" w:tplc="3E328556" w:tentative="1">
      <w:start w:val="1"/>
      <w:numFmt w:val="bullet"/>
      <w:lvlText w:val="o"/>
      <w:lvlJc w:val="left"/>
      <w:pPr>
        <w:ind w:left="1440" w:hanging="360"/>
      </w:pPr>
      <w:rPr>
        <w:rFonts w:ascii="Courier New" w:hAnsi="Courier New" w:cs="Courier New" w:hint="default"/>
      </w:rPr>
    </w:lvl>
    <w:lvl w:ilvl="2" w:tplc="94760EB8" w:tentative="1">
      <w:start w:val="1"/>
      <w:numFmt w:val="bullet"/>
      <w:lvlText w:val=""/>
      <w:lvlJc w:val="left"/>
      <w:pPr>
        <w:ind w:left="2160" w:hanging="360"/>
      </w:pPr>
      <w:rPr>
        <w:rFonts w:ascii="Wingdings" w:hAnsi="Wingdings" w:hint="default"/>
      </w:rPr>
    </w:lvl>
    <w:lvl w:ilvl="3" w:tplc="20C8E360" w:tentative="1">
      <w:start w:val="1"/>
      <w:numFmt w:val="bullet"/>
      <w:lvlText w:val=""/>
      <w:lvlJc w:val="left"/>
      <w:pPr>
        <w:ind w:left="2880" w:hanging="360"/>
      </w:pPr>
      <w:rPr>
        <w:rFonts w:ascii="Symbol" w:hAnsi="Symbol" w:hint="default"/>
      </w:rPr>
    </w:lvl>
    <w:lvl w:ilvl="4" w:tplc="74960A22" w:tentative="1">
      <w:start w:val="1"/>
      <w:numFmt w:val="bullet"/>
      <w:lvlText w:val="o"/>
      <w:lvlJc w:val="left"/>
      <w:pPr>
        <w:ind w:left="3600" w:hanging="360"/>
      </w:pPr>
      <w:rPr>
        <w:rFonts w:ascii="Courier New" w:hAnsi="Courier New" w:cs="Courier New" w:hint="default"/>
      </w:rPr>
    </w:lvl>
    <w:lvl w:ilvl="5" w:tplc="36B409D6" w:tentative="1">
      <w:start w:val="1"/>
      <w:numFmt w:val="bullet"/>
      <w:lvlText w:val=""/>
      <w:lvlJc w:val="left"/>
      <w:pPr>
        <w:ind w:left="4320" w:hanging="360"/>
      </w:pPr>
      <w:rPr>
        <w:rFonts w:ascii="Wingdings" w:hAnsi="Wingdings" w:hint="default"/>
      </w:rPr>
    </w:lvl>
    <w:lvl w:ilvl="6" w:tplc="C4E06FAA" w:tentative="1">
      <w:start w:val="1"/>
      <w:numFmt w:val="bullet"/>
      <w:lvlText w:val=""/>
      <w:lvlJc w:val="left"/>
      <w:pPr>
        <w:ind w:left="5040" w:hanging="360"/>
      </w:pPr>
      <w:rPr>
        <w:rFonts w:ascii="Symbol" w:hAnsi="Symbol" w:hint="default"/>
      </w:rPr>
    </w:lvl>
    <w:lvl w:ilvl="7" w:tplc="2BF6C0BA" w:tentative="1">
      <w:start w:val="1"/>
      <w:numFmt w:val="bullet"/>
      <w:lvlText w:val="o"/>
      <w:lvlJc w:val="left"/>
      <w:pPr>
        <w:ind w:left="5760" w:hanging="360"/>
      </w:pPr>
      <w:rPr>
        <w:rFonts w:ascii="Courier New" w:hAnsi="Courier New" w:cs="Courier New" w:hint="default"/>
      </w:rPr>
    </w:lvl>
    <w:lvl w:ilvl="8" w:tplc="1EFE413E" w:tentative="1">
      <w:start w:val="1"/>
      <w:numFmt w:val="bullet"/>
      <w:lvlText w:val=""/>
      <w:lvlJc w:val="left"/>
      <w:pPr>
        <w:ind w:left="6480" w:hanging="360"/>
      </w:pPr>
      <w:rPr>
        <w:rFonts w:ascii="Wingdings" w:hAnsi="Wingdings" w:hint="default"/>
      </w:rPr>
    </w:lvl>
  </w:abstractNum>
  <w:abstractNum w:abstractNumId="5" w15:restartNumberingAfterBreak="0">
    <w:nsid w:val="4FCB565A"/>
    <w:multiLevelType w:val="hybridMultilevel"/>
    <w:tmpl w:val="EDC2AC18"/>
    <w:lvl w:ilvl="0" w:tplc="BBBA4DDE">
      <w:start w:val="1"/>
      <w:numFmt w:val="bullet"/>
      <w:lvlText w:val=""/>
      <w:lvlJc w:val="left"/>
      <w:pPr>
        <w:ind w:left="720" w:hanging="360"/>
      </w:pPr>
      <w:rPr>
        <w:rFonts w:ascii="Symbol" w:hAnsi="Symbol" w:hint="default"/>
      </w:rPr>
    </w:lvl>
    <w:lvl w:ilvl="1" w:tplc="B2F017D4" w:tentative="1">
      <w:start w:val="1"/>
      <w:numFmt w:val="bullet"/>
      <w:lvlText w:val="o"/>
      <w:lvlJc w:val="left"/>
      <w:pPr>
        <w:ind w:left="1440" w:hanging="360"/>
      </w:pPr>
      <w:rPr>
        <w:rFonts w:ascii="Courier New" w:hAnsi="Courier New" w:cs="Courier New" w:hint="default"/>
      </w:rPr>
    </w:lvl>
    <w:lvl w:ilvl="2" w:tplc="778EEB92" w:tentative="1">
      <w:start w:val="1"/>
      <w:numFmt w:val="bullet"/>
      <w:lvlText w:val=""/>
      <w:lvlJc w:val="left"/>
      <w:pPr>
        <w:ind w:left="2160" w:hanging="360"/>
      </w:pPr>
      <w:rPr>
        <w:rFonts w:ascii="Wingdings" w:hAnsi="Wingdings" w:hint="default"/>
      </w:rPr>
    </w:lvl>
    <w:lvl w:ilvl="3" w:tplc="C93C9F64" w:tentative="1">
      <w:start w:val="1"/>
      <w:numFmt w:val="bullet"/>
      <w:lvlText w:val=""/>
      <w:lvlJc w:val="left"/>
      <w:pPr>
        <w:ind w:left="2880" w:hanging="360"/>
      </w:pPr>
      <w:rPr>
        <w:rFonts w:ascii="Symbol" w:hAnsi="Symbol" w:hint="default"/>
      </w:rPr>
    </w:lvl>
    <w:lvl w:ilvl="4" w:tplc="5510AD2A" w:tentative="1">
      <w:start w:val="1"/>
      <w:numFmt w:val="bullet"/>
      <w:lvlText w:val="o"/>
      <w:lvlJc w:val="left"/>
      <w:pPr>
        <w:ind w:left="3600" w:hanging="360"/>
      </w:pPr>
      <w:rPr>
        <w:rFonts w:ascii="Courier New" w:hAnsi="Courier New" w:cs="Courier New" w:hint="default"/>
      </w:rPr>
    </w:lvl>
    <w:lvl w:ilvl="5" w:tplc="936ABF74" w:tentative="1">
      <w:start w:val="1"/>
      <w:numFmt w:val="bullet"/>
      <w:lvlText w:val=""/>
      <w:lvlJc w:val="left"/>
      <w:pPr>
        <w:ind w:left="4320" w:hanging="360"/>
      </w:pPr>
      <w:rPr>
        <w:rFonts w:ascii="Wingdings" w:hAnsi="Wingdings" w:hint="default"/>
      </w:rPr>
    </w:lvl>
    <w:lvl w:ilvl="6" w:tplc="503A39B6" w:tentative="1">
      <w:start w:val="1"/>
      <w:numFmt w:val="bullet"/>
      <w:lvlText w:val=""/>
      <w:lvlJc w:val="left"/>
      <w:pPr>
        <w:ind w:left="5040" w:hanging="360"/>
      </w:pPr>
      <w:rPr>
        <w:rFonts w:ascii="Symbol" w:hAnsi="Symbol" w:hint="default"/>
      </w:rPr>
    </w:lvl>
    <w:lvl w:ilvl="7" w:tplc="4D24B55C" w:tentative="1">
      <w:start w:val="1"/>
      <w:numFmt w:val="bullet"/>
      <w:lvlText w:val="o"/>
      <w:lvlJc w:val="left"/>
      <w:pPr>
        <w:ind w:left="5760" w:hanging="360"/>
      </w:pPr>
      <w:rPr>
        <w:rFonts w:ascii="Courier New" w:hAnsi="Courier New" w:cs="Courier New" w:hint="default"/>
      </w:rPr>
    </w:lvl>
    <w:lvl w:ilvl="8" w:tplc="363644F6"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3"/>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DC9"/>
    <w:rsid w:val="00942877"/>
    <w:rsid w:val="00BE0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lsdException w:name="Body Text 3" w:semiHidden="1" w:unhideWhenUsed="1"/>
    <w:lsdException w:name="Body Text Indent 2" w:semiHidden="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4DE6"/>
    <w:pPr>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ascii="Times New Roman" w:eastAsia="Times New Roman" w:hAnsi="Times New Roman" w:cs="Times New Roman"/>
      <w:sz w:val="24"/>
      <w:szCs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ascii="Times New Roman" w:eastAsia="Times New Roman" w:hAnsi="Times New Roman" w:cs="Times New Roman"/>
      <w:sz w:val="24"/>
      <w:szCs w:val="24"/>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4"/>
    </w:r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4"/>
    </w:rPr>
  </w:style>
  <w:style w:type="paragraph" w:customStyle="1" w:styleId="CourtStyle">
    <w:name w:val="Court Style"/>
    <w:basedOn w:val="Normal"/>
    <w:pPr>
      <w:spacing w:after="240"/>
      <w:ind w:left="5040"/>
    </w:pPr>
  </w:style>
  <w:style w:type="paragraph" w:customStyle="1" w:styleId="DoubleIndent">
    <w:name w:val="Double Indent"/>
    <w:basedOn w:val="Normal"/>
    <w:pPr>
      <w:spacing w:after="240"/>
      <w:ind w:left="720" w:right="720"/>
    </w:pPr>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EnvelopeReturn">
    <w:name w:val="envelope return"/>
    <w:basedOn w:val="Normal"/>
    <w:rPr>
      <w:rFonts w:cs="Arial"/>
      <w:sz w:val="20"/>
      <w:szCs w:val="20"/>
    </w:rPr>
  </w:style>
  <w:style w:type="paragraph" w:customStyle="1" w:styleId="FlushRight">
    <w:name w:val="Flush Right"/>
    <w:basedOn w:val="Normal"/>
    <w:pPr>
      <w:spacing w:after="240"/>
      <w:jc w:val="right"/>
    </w:pPr>
  </w:style>
  <w:style w:type="paragraph" w:styleId="Footer">
    <w:name w:val="footer"/>
    <w:basedOn w:val="Normal"/>
    <w:link w:val="FooterChar"/>
    <w:pPr>
      <w:tabs>
        <w:tab w:val="center" w:pos="4680"/>
        <w:tab w:val="right" w:pos="9360"/>
      </w:tabs>
    </w:pPr>
    <w:rPr>
      <w:sz w:val="16"/>
    </w:rPr>
  </w:style>
  <w:style w:type="character" w:customStyle="1" w:styleId="FooterChar">
    <w:name w:val="Footer Char"/>
    <w:basedOn w:val="DefaultParagraphFont"/>
    <w:link w:val="Footer"/>
    <w:rPr>
      <w:rFonts w:ascii="Times New Roman" w:eastAsia="Times New Roman" w:hAnsi="Times New Roman" w:cs="Times New Roman"/>
      <w:sz w:val="16"/>
      <w:szCs w:val="24"/>
    </w:rPr>
  </w:style>
  <w:style w:type="paragraph" w:customStyle="1" w:styleId="FooterLandscape">
    <w:name w:val="Footer Landscape"/>
    <w:basedOn w:val="Footer"/>
    <w:pPr>
      <w:tabs>
        <w:tab w:val="clear" w:pos="4680"/>
        <w:tab w:val="clear" w:pos="9360"/>
        <w:tab w:val="center" w:pos="6480"/>
        <w:tab w:val="right" w:pos="12960"/>
      </w:tabs>
    </w:p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paragraph" w:customStyle="1" w:styleId="HeaderLandscape">
    <w:name w:val="Header Landscape"/>
    <w:basedOn w:val="Header"/>
    <w:pPr>
      <w:tabs>
        <w:tab w:val="clear" w:pos="4320"/>
        <w:tab w:val="clear" w:pos="8640"/>
        <w:tab w:val="center" w:pos="6480"/>
        <w:tab w:val="right" w:pos="12960"/>
      </w:tabs>
    </w:pPr>
  </w:style>
  <w:style w:type="paragraph" w:styleId="ListBullet">
    <w:name w:val="List Bullet"/>
    <w:basedOn w:val="Normal"/>
    <w:pPr>
      <w:numPr>
        <w:numId w:val="2"/>
      </w:numPr>
      <w:spacing w:after="240"/>
    </w:pPr>
  </w:style>
  <w:style w:type="paragraph" w:styleId="ListBullet2">
    <w:name w:val="List Bullet 2"/>
    <w:basedOn w:val="Normal"/>
    <w:pPr>
      <w:numPr>
        <w:numId w:val="4"/>
      </w:numPr>
      <w:spacing w:after="240"/>
    </w:pPr>
  </w:style>
  <w:style w:type="paragraph" w:customStyle="1" w:styleId="NormalText">
    <w:name w:val="Normal Text"/>
    <w:basedOn w:val="Normal"/>
    <w:pPr>
      <w:spacing w:after="240"/>
    </w:pPr>
  </w:style>
  <w:style w:type="paragraph" w:customStyle="1" w:styleId="NormalText2">
    <w:name w:val="Normal Text 2"/>
    <w:basedOn w:val="Normal"/>
    <w:pPr>
      <w:spacing w:line="480" w:lineRule="auto"/>
    </w:pPr>
  </w:style>
  <w:style w:type="character" w:styleId="PageNumber">
    <w:name w:val="page number"/>
    <w:basedOn w:val="DefaultParagraphFont"/>
    <w:rPr>
      <w:sz w:val="24"/>
    </w:rPr>
  </w:style>
  <w:style w:type="paragraph" w:customStyle="1" w:styleId="Reference">
    <w:name w:val="Reference"/>
    <w:basedOn w:val="Normal"/>
    <w:pPr>
      <w:spacing w:after="240"/>
      <w:ind w:left="1440" w:right="720" w:hanging="720"/>
      <w:jc w:val="left"/>
    </w:pPr>
  </w:style>
  <w:style w:type="paragraph" w:styleId="Signature">
    <w:name w:val="Signature"/>
    <w:basedOn w:val="Normal"/>
    <w:link w:val="SignatureChar"/>
    <w:pPr>
      <w:tabs>
        <w:tab w:val="right" w:pos="9360"/>
      </w:tabs>
      <w:spacing w:after="240"/>
      <w:ind w:left="4320"/>
      <w:jc w:val="left"/>
    </w:pPr>
  </w:style>
  <w:style w:type="character" w:customStyle="1" w:styleId="SignatureChar">
    <w:name w:val="Signature Char"/>
    <w:basedOn w:val="DefaultParagraphFont"/>
    <w:link w:val="Signature"/>
    <w:rPr>
      <w:rFonts w:ascii="Times New Roman" w:eastAsia="Times New Roman" w:hAnsi="Times New Roman" w:cs="Times New Roman"/>
      <w:sz w:val="24"/>
      <w:szCs w:val="24"/>
    </w:rPr>
  </w:style>
  <w:style w:type="paragraph" w:customStyle="1" w:styleId="TitleB">
    <w:name w:val="Title B"/>
    <w:basedOn w:val="Normal"/>
    <w:pPr>
      <w:keepNext/>
      <w:keepLines/>
      <w:spacing w:after="240"/>
      <w:jc w:val="center"/>
    </w:pPr>
    <w:rPr>
      <w:b/>
    </w:rPr>
  </w:style>
  <w:style w:type="paragraph" w:customStyle="1" w:styleId="TitleBU">
    <w:name w:val="Title BU"/>
    <w:basedOn w:val="Normal"/>
    <w:pPr>
      <w:keepNext/>
      <w:keepLines/>
      <w:spacing w:after="240"/>
      <w:jc w:val="center"/>
    </w:pPr>
    <w:rPr>
      <w:b/>
      <w:u w:val="single"/>
    </w:rPr>
  </w:style>
  <w:style w:type="paragraph" w:styleId="ListParagraph">
    <w:name w:val="List Paragraph"/>
    <w:basedOn w:val="Normal"/>
    <w:uiPriority w:val="34"/>
    <w:qFormat/>
    <w:rsid w:val="000D4DE6"/>
    <w:pPr>
      <w:ind w:left="720"/>
      <w:contextualSpacing/>
    </w:pPr>
  </w:style>
  <w:style w:type="paragraph" w:customStyle="1" w:styleId="DocID">
    <w:name w:val="DocID"/>
    <w:basedOn w:val="Footer"/>
    <w:next w:val="Footer"/>
    <w:link w:val="DocIDChar"/>
    <w:rsid w:val="007F75A5"/>
    <w:pPr>
      <w:tabs>
        <w:tab w:val="clear" w:pos="4680"/>
        <w:tab w:val="clear" w:pos="9360"/>
      </w:tabs>
      <w:jc w:val="left"/>
    </w:pPr>
    <w:rPr>
      <w:szCs w:val="20"/>
    </w:rPr>
  </w:style>
  <w:style w:type="character" w:customStyle="1" w:styleId="DocIDChar">
    <w:name w:val="DocID Char"/>
    <w:basedOn w:val="DefaultParagraphFont"/>
    <w:link w:val="DocID"/>
    <w:rsid w:val="007F75A5"/>
    <w:rPr>
      <w:rFonts w:ascii="Times New Roman" w:hAnsi="Times New Roman" w:cs="Times New Roman"/>
      <w:sz w:val="16"/>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1725</Words>
  <Characters>9837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2018-01-17T03:21:00Z</dcterms:created>
  <dcterms:modified xsi:type="dcterms:W3CDTF">2018-01-17T03:21:00Z</dcterms:modified>
</cp:coreProperties>
</file>