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6D" w:rsidRPr="00E966ED" w:rsidRDefault="00367433" w:rsidP="003001F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966ED">
        <w:rPr>
          <w:b/>
        </w:rPr>
        <w:t xml:space="preserve">Issue Paper </w:t>
      </w:r>
      <w:r>
        <w:rPr>
          <w:b/>
        </w:rPr>
        <w:t>8</w:t>
      </w:r>
    </w:p>
    <w:p w:rsidR="00E966ED" w:rsidRDefault="00367433" w:rsidP="003001FD">
      <w:pPr>
        <w:spacing w:after="0" w:line="240" w:lineRule="auto"/>
        <w:jc w:val="center"/>
        <w:rPr>
          <w:b/>
        </w:rPr>
      </w:pPr>
      <w:r>
        <w:rPr>
          <w:b/>
        </w:rPr>
        <w:t xml:space="preserve">Session </w:t>
      </w:r>
      <w:r>
        <w:rPr>
          <w:b/>
        </w:rPr>
        <w:t>2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>January 8-11, 2018</w:t>
      </w:r>
    </w:p>
    <w:p w:rsidR="00734458" w:rsidRPr="00E966ED" w:rsidRDefault="00367433" w:rsidP="003001FD">
      <w:pPr>
        <w:spacing w:after="0" w:line="240" w:lineRule="auto"/>
        <w:jc w:val="center"/>
        <w:rPr>
          <w:b/>
        </w:rPr>
      </w:pPr>
    </w:p>
    <w:p w:rsidR="00024E4F" w:rsidRPr="00725BA5" w:rsidRDefault="00367433" w:rsidP="00024E4F">
      <w:pPr>
        <w:spacing w:after="0" w:line="240" w:lineRule="auto"/>
        <w:ind w:left="2160" w:hanging="2160"/>
      </w:pPr>
      <w:r w:rsidRPr="00725BA5">
        <w:rPr>
          <w:b/>
        </w:rPr>
        <w:t>Issue:</w:t>
      </w:r>
      <w:r w:rsidRPr="00725BA5">
        <w:tab/>
        <w:t xml:space="preserve">Whether to </w:t>
      </w:r>
      <w:r>
        <w:t>recalculate a borrower’s Subsidized Usage Period and interest accrual, if applicable, when the borrower receives a discharge of a loan for which he or she has not received all or part of the</w:t>
      </w:r>
      <w:r>
        <w:t xml:space="preserve"> educational benefit of the loan</w:t>
      </w:r>
    </w:p>
    <w:p w:rsidR="00024E4F" w:rsidRPr="00725BA5" w:rsidRDefault="00367433" w:rsidP="00024E4F">
      <w:pPr>
        <w:spacing w:after="0" w:line="240" w:lineRule="auto"/>
        <w:ind w:left="2160" w:hanging="2160"/>
        <w:rPr>
          <w:b/>
        </w:rPr>
      </w:pPr>
    </w:p>
    <w:p w:rsidR="00024E4F" w:rsidRPr="00725BA5" w:rsidRDefault="00367433" w:rsidP="00024E4F">
      <w:pPr>
        <w:spacing w:after="0" w:line="240" w:lineRule="auto"/>
        <w:ind w:left="2160" w:hanging="2160"/>
      </w:pPr>
      <w:r w:rsidRPr="00725BA5">
        <w:rPr>
          <w:b/>
        </w:rPr>
        <w:t>Statutory cite:</w:t>
      </w:r>
      <w:r w:rsidRPr="00725BA5">
        <w:rPr>
          <w:b/>
        </w:rPr>
        <w:tab/>
      </w:r>
      <w:r w:rsidRPr="0023114D">
        <w:t>§</w:t>
      </w:r>
      <w:r>
        <w:rPr>
          <w:b/>
        </w:rPr>
        <w:t xml:space="preserve"> </w:t>
      </w:r>
      <w:r w:rsidRPr="00725BA5">
        <w:t>455(</w:t>
      </w:r>
      <w:r>
        <w:t>q</w:t>
      </w:r>
      <w:r w:rsidRPr="00725BA5">
        <w:t>) of the Higher Education Act of 1965, as amended</w:t>
      </w:r>
      <w:r>
        <w:t xml:space="preserve"> (HEA)</w:t>
      </w:r>
    </w:p>
    <w:p w:rsidR="00024E4F" w:rsidRPr="00725BA5" w:rsidRDefault="00367433" w:rsidP="00024E4F">
      <w:pPr>
        <w:spacing w:after="0" w:line="240" w:lineRule="auto"/>
      </w:pPr>
      <w:r w:rsidRPr="00725BA5">
        <w:rPr>
          <w:b/>
        </w:rPr>
        <w:tab/>
      </w:r>
    </w:p>
    <w:p w:rsidR="00024E4F" w:rsidRPr="00725BA5" w:rsidRDefault="00367433" w:rsidP="00024E4F">
      <w:pPr>
        <w:spacing w:after="0" w:line="240" w:lineRule="auto"/>
      </w:pPr>
      <w:r w:rsidRPr="00725BA5">
        <w:rPr>
          <w:b/>
        </w:rPr>
        <w:t>Regulatory cite:</w:t>
      </w:r>
      <w:r w:rsidRPr="00725BA5">
        <w:rPr>
          <w:b/>
        </w:rPr>
        <w:tab/>
      </w:r>
      <w:r w:rsidRPr="00725BA5">
        <w:t>34 CFR</w:t>
      </w:r>
      <w:r w:rsidRPr="00725BA5">
        <w:rPr>
          <w:b/>
        </w:rPr>
        <w:t xml:space="preserve"> </w:t>
      </w:r>
      <w:r w:rsidRPr="00725BA5">
        <w:t>685.</w:t>
      </w:r>
      <w:r>
        <w:t>200(f)</w:t>
      </w:r>
    </w:p>
    <w:p w:rsidR="00024E4F" w:rsidRDefault="00367433" w:rsidP="003001FD">
      <w:pPr>
        <w:spacing w:line="240" w:lineRule="auto"/>
        <w:ind w:left="2160" w:hanging="2160"/>
        <w:rPr>
          <w:b/>
        </w:rPr>
      </w:pPr>
    </w:p>
    <w:p w:rsidR="00947742" w:rsidRPr="003001FD" w:rsidRDefault="00367433" w:rsidP="00024E4F">
      <w:pPr>
        <w:spacing w:line="240" w:lineRule="auto"/>
        <w:ind w:left="2160" w:hanging="2160"/>
        <w:rPr>
          <w:i/>
        </w:rPr>
      </w:pPr>
      <w:r w:rsidRPr="00E966ED">
        <w:rPr>
          <w:b/>
        </w:rPr>
        <w:t xml:space="preserve">Summary of </w:t>
      </w:r>
      <w:r>
        <w:rPr>
          <w:b/>
        </w:rPr>
        <w:t xml:space="preserve">Change:  </w:t>
      </w:r>
      <w:r>
        <w:rPr>
          <w:b/>
        </w:rPr>
        <w:tab/>
      </w:r>
      <w:r>
        <w:t xml:space="preserve">To eliminate or recalculate the subsidized usage period </w:t>
      </w:r>
      <w:r>
        <w:t xml:space="preserve">and, if applicable, restore </w:t>
      </w:r>
      <w:r>
        <w:t xml:space="preserve">interest subsidy </w:t>
      </w:r>
      <w:r>
        <w:t xml:space="preserve">associated with the </w:t>
      </w:r>
      <w:r>
        <w:t>Direct Subsidized Loan</w:t>
      </w:r>
      <w:r>
        <w:t xml:space="preserve">(s) </w:t>
      </w:r>
      <w:r>
        <w:t xml:space="preserve">fully or partially discharged </w:t>
      </w:r>
      <w:r w:rsidRPr="00EA60E4">
        <w:t>based on school closure, false</w:t>
      </w:r>
      <w:r>
        <w:t xml:space="preserve"> </w:t>
      </w:r>
      <w:r w:rsidRPr="00EA60E4">
        <w:t>certification,</w:t>
      </w:r>
      <w:r>
        <w:t xml:space="preserve"> </w:t>
      </w:r>
      <w:r w:rsidRPr="00EA60E4">
        <w:t xml:space="preserve">unpaid refund, or </w:t>
      </w:r>
      <w:r>
        <w:t>borro</w:t>
      </w:r>
      <w:r>
        <w:t xml:space="preserve">wer defense, amend 34 CFR </w:t>
      </w:r>
      <w:r w:rsidRPr="00EA60E4">
        <w:t>685.200(f)(4)(iii)</w:t>
      </w:r>
      <w:r>
        <w:t xml:space="preserve"> and 34 CFR </w:t>
      </w:r>
      <w:r w:rsidRPr="00EA60E4">
        <w:t>685.200(f)(</w:t>
      </w:r>
      <w:r>
        <w:t>3</w:t>
      </w:r>
      <w:r w:rsidRPr="00EA60E4">
        <w:t>)(</w:t>
      </w:r>
      <w:r>
        <w:t>v</w:t>
      </w:r>
      <w:r w:rsidRPr="00EA60E4">
        <w:t>)</w:t>
      </w:r>
      <w:r>
        <w:t>.</w:t>
      </w:r>
    </w:p>
    <w:p w:rsidR="00007FAB" w:rsidRDefault="00367433" w:rsidP="003001FD">
      <w:pPr>
        <w:spacing w:line="240" w:lineRule="auto"/>
      </w:pPr>
      <w:r>
        <w:rPr>
          <w:b/>
        </w:rPr>
        <w:t xml:space="preserve">Changes:  </w:t>
      </w:r>
      <w:r>
        <w:rPr>
          <w:b/>
        </w:rPr>
        <w:tab/>
      </w:r>
      <w:r>
        <w:rPr>
          <w:b/>
        </w:rPr>
        <w:tab/>
      </w:r>
      <w:r>
        <w:t xml:space="preserve">See </w:t>
      </w:r>
      <w:r>
        <w:t>regulatory text</w:t>
      </w:r>
      <w:r>
        <w:t xml:space="preserve"> below</w:t>
      </w:r>
      <w:r>
        <w:t>.</w:t>
      </w:r>
    </w:p>
    <w:p w:rsidR="00212455" w:rsidRPr="00212455" w:rsidRDefault="00367433" w:rsidP="00212455">
      <w:pPr>
        <w:rPr>
          <w:b/>
        </w:rPr>
      </w:pPr>
      <w:r w:rsidRPr="00212455">
        <w:rPr>
          <w:b/>
        </w:rPr>
        <w:t>§</w:t>
      </w:r>
      <w:r>
        <w:rPr>
          <w:b/>
        </w:rPr>
        <w:t xml:space="preserve"> </w:t>
      </w:r>
      <w:r w:rsidRPr="00212455">
        <w:rPr>
          <w:b/>
        </w:rPr>
        <w:t>685.200   Borrower eligibility.</w:t>
      </w:r>
    </w:p>
    <w:p w:rsidR="00212455" w:rsidRDefault="00367433" w:rsidP="00212455">
      <w:pPr>
        <w:spacing w:before="100" w:beforeAutospacing="1" w:after="100" w:afterAutospacing="1" w:line="240" w:lineRule="auto"/>
      </w:pPr>
      <w:r>
        <w:t>[ * * * ]</w:t>
      </w:r>
    </w:p>
    <w:p w:rsidR="00212455" w:rsidRDefault="00367433" w:rsidP="0058614E">
      <w:pPr>
        <w:spacing w:before="100" w:beforeAutospacing="1" w:after="100" w:afterAutospacing="1" w:line="240" w:lineRule="auto"/>
      </w:pPr>
      <w:r w:rsidRPr="00212455">
        <w:t>(f) Limitations on eligibility for Direct Subsidized Loans and borrower responsibility for accruing interest for first-time borrowers on or after July 1, 2013</w:t>
      </w:r>
    </w:p>
    <w:p w:rsidR="00854E83" w:rsidRDefault="00367433" w:rsidP="0058614E">
      <w:pPr>
        <w:spacing w:before="100" w:beforeAutospacing="1" w:after="100" w:afterAutospacing="1" w:line="240" w:lineRule="auto"/>
      </w:pPr>
      <w:r>
        <w:t>[ * * * ]</w:t>
      </w:r>
    </w:p>
    <w:p w:rsidR="00E90C3A" w:rsidRDefault="00367433" w:rsidP="0058614E">
      <w:pPr>
        <w:spacing w:before="100" w:beforeAutospacing="1" w:after="100" w:afterAutospacing="1" w:line="240" w:lineRule="auto"/>
      </w:pPr>
      <w:r>
        <w:t>(3) Borrower respons</w:t>
      </w:r>
      <w:r>
        <w:t xml:space="preserve">ibility for accruing interest. </w:t>
      </w:r>
    </w:p>
    <w:p w:rsidR="00E90C3A" w:rsidRDefault="00367433" w:rsidP="0058614E">
      <w:pPr>
        <w:spacing w:before="100" w:beforeAutospacing="1" w:after="100" w:afterAutospacing="1" w:line="240" w:lineRule="auto"/>
      </w:pPr>
      <w:r>
        <w:t xml:space="preserve">(i) Notwithstanding any provision of this part that provides for the borrower to not be responsible for accruing interest on a Direct Subsidized Loan or on the portion of a Direct Consolidation Loan that repaid a Direct </w:t>
      </w:r>
      <w:r>
        <w:t>Subsidized Loan, and except as provided in paragraphs (f)(6)(v) and (f)(7)(iv) of this section, a first-time borrower becomes responsible for the interest that accrues on a previously received Direct Subsidized Loan or on the portion of a Direct Consolidat</w:t>
      </w:r>
      <w:r>
        <w:t>ion Loan that repaid a Direct Subsidized Loan beginning on the date—</w:t>
      </w:r>
    </w:p>
    <w:p w:rsidR="00E90C3A" w:rsidRDefault="00367433" w:rsidP="0058614E">
      <w:pPr>
        <w:spacing w:before="100" w:beforeAutospacing="1" w:after="100" w:afterAutospacing="1" w:line="240" w:lineRule="auto"/>
      </w:pPr>
      <w:r>
        <w:t>(A) The borrower has no remaining eligibility period; and</w:t>
      </w:r>
    </w:p>
    <w:p w:rsidR="00E90C3A" w:rsidRDefault="00367433" w:rsidP="0058614E">
      <w:pPr>
        <w:spacing w:before="100" w:beforeAutospacing="1" w:after="100" w:afterAutospacing="1" w:line="240" w:lineRule="auto"/>
      </w:pPr>
      <w:r>
        <w:t>(B) The borrower attends any undergraduate program or preparatory coursework on at least a half-time basis at an eligible institu</w:t>
      </w:r>
      <w:r>
        <w:t>tion that participates in the title IV, HEA programs.</w:t>
      </w:r>
    </w:p>
    <w:p w:rsidR="00E90C3A" w:rsidRDefault="00367433" w:rsidP="0058614E">
      <w:pPr>
        <w:spacing w:before="100" w:beforeAutospacing="1" w:after="100" w:afterAutospacing="1" w:line="240" w:lineRule="auto"/>
      </w:pPr>
      <w:r>
        <w:t>(ii) The borrower continues to be responsible for the interest that accrues on the portion of a Direct Consolidation Loan that repaid a Direct Subsidized Loan for which the borrower previously became re</w:t>
      </w:r>
      <w:r>
        <w:t>sponsible for accruing interest in accordance with paragraph (f)(3)(i) of this section.</w:t>
      </w:r>
    </w:p>
    <w:p w:rsidR="00E90C3A" w:rsidRDefault="00367433" w:rsidP="0058614E">
      <w:pPr>
        <w:spacing w:before="100" w:beforeAutospacing="1" w:after="100" w:afterAutospacing="1" w:line="240" w:lineRule="auto"/>
      </w:pPr>
      <w:r>
        <w:lastRenderedPageBreak/>
        <w:t xml:space="preserve">(iii) For any loan for which the borrower becomes responsible for accruing interest in accordance with paragraph (f)(3)(i) of this section, the borrower is responsible </w:t>
      </w:r>
      <w:r>
        <w:t>for only the interest that accrues after the borrower meets the criteria in paragraph (f)(3)(i) of this section and unpaid interest is capitalized in the same manner as for a Direct Unsubsidized Loan.</w:t>
      </w:r>
    </w:p>
    <w:p w:rsidR="00C26D60" w:rsidRDefault="00367433" w:rsidP="00C26D60">
      <w:pPr>
        <w:spacing w:before="100" w:beforeAutospacing="1" w:after="100" w:afterAutospacing="1" w:line="240" w:lineRule="auto"/>
      </w:pPr>
      <w:r>
        <w:t xml:space="preserve">(iv) A borrower who completes an undergraduate program </w:t>
      </w:r>
      <w:r>
        <w:t>and who has not become responsible for accruing interest on Direct Subsidized Loans as a result of attendance in that program does not become responsible for accruing interest under paragraph (f)(3)(i) of this section on any Direct Subsidized Loans receive</w:t>
      </w:r>
      <w:r>
        <w:t>d for attendance in any program prior to completing that undergraduate program and for which t</w:t>
      </w:r>
      <w:r>
        <w:t>he borrower has not previously become responsible for accruing interest, regardless of subsequent attendance in any other program.</w:t>
      </w:r>
      <w:r>
        <w:rPr>
          <w:rStyle w:val="CommentReference"/>
        </w:rPr>
        <w:t xml:space="preserve"> </w:t>
      </w:r>
    </w:p>
    <w:p w:rsidR="00C26D60" w:rsidRDefault="00367433" w:rsidP="00C26D60">
      <w:pPr>
        <w:spacing w:before="100" w:beforeAutospacing="1" w:after="100" w:afterAutospacing="1" w:line="240" w:lineRule="auto"/>
      </w:pPr>
      <w:r w:rsidRPr="00854E83">
        <w:t xml:space="preserve">(v) A borrower who receives a </w:t>
      </w:r>
      <w:r w:rsidRPr="00854E83">
        <w:t xml:space="preserve">closed school, false certification, unpaid refund, or </w:t>
      </w:r>
      <w:r>
        <w:t>borrower defense</w:t>
      </w:r>
      <w:r w:rsidRPr="00854E83">
        <w:t xml:space="preserve"> discharge that results in a remaining eligibility period greater than zero is no</w:t>
      </w:r>
      <w:r>
        <w:t>t</w:t>
      </w:r>
      <w:r w:rsidRPr="00854E83">
        <w:t xml:space="preserve"> responsible for the interest that accrues on a Direct Subsidized Loan or on the portion of a Direct Con</w:t>
      </w:r>
      <w:r w:rsidRPr="00854E83">
        <w:t>solidation Loan that repaid a Direct Subsidized Loan unless the borrower once again becomes responsible for the interest that accrues on a previously received Direct Subsidized Loan or on the portion of a Direct Consolidation Loan that repaid a Direct Subs</w:t>
      </w:r>
      <w:r w:rsidRPr="00854E83">
        <w:t>idized Loan, for the life of the loan, as described in paragraph (f)(3)(i) of this section.</w:t>
      </w:r>
    </w:p>
    <w:p w:rsidR="00854E83" w:rsidRDefault="00367433" w:rsidP="0058614E">
      <w:pPr>
        <w:spacing w:before="100" w:beforeAutospacing="1" w:after="100" w:afterAutospacing="1" w:line="240" w:lineRule="auto"/>
      </w:pPr>
      <w:r w:rsidRPr="00854E83">
        <w:t xml:space="preserve"> </w:t>
      </w:r>
      <w:r w:rsidRPr="00212455">
        <w:t xml:space="preserve">(4) Exceptions to the calculation of subsidized usage periods. </w:t>
      </w:r>
    </w:p>
    <w:p w:rsidR="00854E83" w:rsidRPr="00212455" w:rsidRDefault="00367433" w:rsidP="0058614E">
      <w:pPr>
        <w:spacing w:before="100" w:beforeAutospacing="1" w:after="100" w:afterAutospacing="1" w:line="240" w:lineRule="auto"/>
      </w:pPr>
      <w:r w:rsidRPr="00212455">
        <w:t>(i) For a first-time borrower who receives a Direct Subsidized Loan in an amount that is equal to t</w:t>
      </w:r>
      <w:r w:rsidRPr="00212455">
        <w:t>he full annual loan limit for a loan period that is less than a full academic year in length, the subsidized usage period is one year.</w:t>
      </w:r>
    </w:p>
    <w:p w:rsidR="00854E83" w:rsidRDefault="00367433" w:rsidP="0058614E">
      <w:pPr>
        <w:spacing w:before="100" w:beforeAutospacing="1" w:after="100" w:afterAutospacing="1" w:line="240" w:lineRule="auto"/>
      </w:pPr>
      <w:r w:rsidRPr="00212455">
        <w:t>(ii) For a first-time borrower who is enrolled on a half-time or three-quarter-time basis, the borrower's prorated subsid</w:t>
      </w:r>
      <w:r w:rsidRPr="00212455">
        <w:t>ized usage period is calculated by multiplying the borrower's subsidized usage period by 0.5 or 0.75, respectively.</w:t>
      </w:r>
    </w:p>
    <w:p w:rsidR="00854E83" w:rsidRDefault="00367433" w:rsidP="0058614E">
      <w:pPr>
        <w:spacing w:before="100" w:beforeAutospacing="1" w:after="100" w:afterAutospacing="1" w:line="240" w:lineRule="auto"/>
      </w:pPr>
      <w:r w:rsidRPr="00854E83">
        <w:t xml:space="preserve">(iii) For a first-time borrower who receives a closed school, false certification, unpaid refund, or </w:t>
      </w:r>
      <w:r>
        <w:t>borrower defense</w:t>
      </w:r>
      <w:r w:rsidRPr="00854E83">
        <w:t xml:space="preserve"> discharge on a Direct </w:t>
      </w:r>
      <w:r w:rsidRPr="00854E83">
        <w:t>Subsidized Loan or a portion of a Direct Consolidation Loan that is attributable to a Direct Subsidized Loan, the Subsidized Usage Period is reduced. If the Direct Subsidized Loan or a portion of a Direct Consolidation Loan that is attributable to a Direct</w:t>
      </w:r>
      <w:r w:rsidRPr="00854E83">
        <w:t xml:space="preserve"> Subsidized Loan is discharged in full, the Subsidized Usage Period of those loans is zero years. If the Direct Subsidized Loan or a portion of a Direct Consolidation Loan that is attributable to a Direct Subsidized Loan is discharged in part, the Subsidiz</w:t>
      </w:r>
      <w:r w:rsidRPr="00854E83">
        <w:t>ed Usage Period may be reduced if the discharge results in the inapplicability of paragraph (f)(4)(i) of this section.</w:t>
      </w:r>
    </w:p>
    <w:p w:rsidR="00854E83" w:rsidRDefault="00367433" w:rsidP="0043461A">
      <w:pPr>
        <w:spacing w:before="100" w:beforeAutospacing="1" w:after="100" w:afterAutospacing="1" w:line="240" w:lineRule="auto"/>
      </w:pPr>
      <w:r>
        <w:t xml:space="preserve">(Authority: 20 U.S.C. 1087a </w:t>
      </w:r>
      <w:r>
        <w:rPr>
          <w:i/>
        </w:rPr>
        <w:t>et seq.</w:t>
      </w:r>
      <w:r>
        <w:t>)</w:t>
      </w:r>
    </w:p>
    <w:sectPr w:rsidR="00854E83" w:rsidSect="00A65F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33" w:rsidRDefault="00367433">
      <w:pPr>
        <w:spacing w:after="0" w:line="240" w:lineRule="auto"/>
      </w:pPr>
      <w:r>
        <w:separator/>
      </w:r>
    </w:p>
  </w:endnote>
  <w:endnote w:type="continuationSeparator" w:id="0">
    <w:p w:rsidR="00367433" w:rsidRDefault="0036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30" w:rsidRDefault="00367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052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6E1" w:rsidRDefault="00367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6E1" w:rsidRDefault="003674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30" w:rsidRDefault="00367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33" w:rsidRDefault="00367433">
      <w:pPr>
        <w:spacing w:after="0" w:line="240" w:lineRule="auto"/>
      </w:pPr>
      <w:r>
        <w:separator/>
      </w:r>
    </w:p>
  </w:footnote>
  <w:footnote w:type="continuationSeparator" w:id="0">
    <w:p w:rsidR="00367433" w:rsidRDefault="0036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30" w:rsidRDefault="00367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6E1" w:rsidRPr="002B2ED0" w:rsidRDefault="00367433" w:rsidP="002B2ED0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30" w:rsidRDefault="00367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F5C"/>
    <w:multiLevelType w:val="hybridMultilevel"/>
    <w:tmpl w:val="DA4AC60C"/>
    <w:lvl w:ilvl="0" w:tplc="AB8455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D79E66FA" w:tentative="1">
      <w:start w:val="1"/>
      <w:numFmt w:val="lowerLetter"/>
      <w:lvlText w:val="%2."/>
      <w:lvlJc w:val="left"/>
      <w:pPr>
        <w:ind w:left="1440" w:hanging="360"/>
      </w:pPr>
    </w:lvl>
    <w:lvl w:ilvl="2" w:tplc="19EA94F0" w:tentative="1">
      <w:start w:val="1"/>
      <w:numFmt w:val="lowerRoman"/>
      <w:lvlText w:val="%3."/>
      <w:lvlJc w:val="right"/>
      <w:pPr>
        <w:ind w:left="2160" w:hanging="180"/>
      </w:pPr>
    </w:lvl>
    <w:lvl w:ilvl="3" w:tplc="6116255A" w:tentative="1">
      <w:start w:val="1"/>
      <w:numFmt w:val="decimal"/>
      <w:lvlText w:val="%4."/>
      <w:lvlJc w:val="left"/>
      <w:pPr>
        <w:ind w:left="2880" w:hanging="360"/>
      </w:pPr>
    </w:lvl>
    <w:lvl w:ilvl="4" w:tplc="4F7CC734" w:tentative="1">
      <w:start w:val="1"/>
      <w:numFmt w:val="lowerLetter"/>
      <w:lvlText w:val="%5."/>
      <w:lvlJc w:val="left"/>
      <w:pPr>
        <w:ind w:left="3600" w:hanging="360"/>
      </w:pPr>
    </w:lvl>
    <w:lvl w:ilvl="5" w:tplc="A852F1A6" w:tentative="1">
      <w:start w:val="1"/>
      <w:numFmt w:val="lowerRoman"/>
      <w:lvlText w:val="%6."/>
      <w:lvlJc w:val="right"/>
      <w:pPr>
        <w:ind w:left="4320" w:hanging="180"/>
      </w:pPr>
    </w:lvl>
    <w:lvl w:ilvl="6" w:tplc="FD3EC340" w:tentative="1">
      <w:start w:val="1"/>
      <w:numFmt w:val="decimal"/>
      <w:lvlText w:val="%7."/>
      <w:lvlJc w:val="left"/>
      <w:pPr>
        <w:ind w:left="5040" w:hanging="360"/>
      </w:pPr>
    </w:lvl>
    <w:lvl w:ilvl="7" w:tplc="E79CF372" w:tentative="1">
      <w:start w:val="1"/>
      <w:numFmt w:val="lowerLetter"/>
      <w:lvlText w:val="%8."/>
      <w:lvlJc w:val="left"/>
      <w:pPr>
        <w:ind w:left="5760" w:hanging="360"/>
      </w:pPr>
    </w:lvl>
    <w:lvl w:ilvl="8" w:tplc="02AC0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755C"/>
    <w:multiLevelType w:val="hybridMultilevel"/>
    <w:tmpl w:val="AACE304E"/>
    <w:lvl w:ilvl="0" w:tplc="5456F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48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4F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AB5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E8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ED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8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F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E89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230F"/>
    <w:multiLevelType w:val="hybridMultilevel"/>
    <w:tmpl w:val="569056C4"/>
    <w:lvl w:ilvl="0" w:tplc="B120B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2F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1AD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46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40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4E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62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00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0C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4505"/>
    <w:multiLevelType w:val="hybridMultilevel"/>
    <w:tmpl w:val="23C0DBA6"/>
    <w:lvl w:ilvl="0" w:tplc="DE8A11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6F069C92" w:tentative="1">
      <w:start w:val="1"/>
      <w:numFmt w:val="lowerLetter"/>
      <w:lvlText w:val="%2."/>
      <w:lvlJc w:val="left"/>
      <w:pPr>
        <w:ind w:left="1440" w:hanging="360"/>
      </w:pPr>
    </w:lvl>
    <w:lvl w:ilvl="2" w:tplc="0DD0648E" w:tentative="1">
      <w:start w:val="1"/>
      <w:numFmt w:val="lowerRoman"/>
      <w:lvlText w:val="%3."/>
      <w:lvlJc w:val="right"/>
      <w:pPr>
        <w:ind w:left="2160" w:hanging="180"/>
      </w:pPr>
    </w:lvl>
    <w:lvl w:ilvl="3" w:tplc="02968B20" w:tentative="1">
      <w:start w:val="1"/>
      <w:numFmt w:val="decimal"/>
      <w:lvlText w:val="%4."/>
      <w:lvlJc w:val="left"/>
      <w:pPr>
        <w:ind w:left="2880" w:hanging="360"/>
      </w:pPr>
    </w:lvl>
    <w:lvl w:ilvl="4" w:tplc="EA4E4D92" w:tentative="1">
      <w:start w:val="1"/>
      <w:numFmt w:val="lowerLetter"/>
      <w:lvlText w:val="%5."/>
      <w:lvlJc w:val="left"/>
      <w:pPr>
        <w:ind w:left="3600" w:hanging="360"/>
      </w:pPr>
    </w:lvl>
    <w:lvl w:ilvl="5" w:tplc="38F2F372" w:tentative="1">
      <w:start w:val="1"/>
      <w:numFmt w:val="lowerRoman"/>
      <w:lvlText w:val="%6."/>
      <w:lvlJc w:val="right"/>
      <w:pPr>
        <w:ind w:left="4320" w:hanging="180"/>
      </w:pPr>
    </w:lvl>
    <w:lvl w:ilvl="6" w:tplc="F16C7DDE" w:tentative="1">
      <w:start w:val="1"/>
      <w:numFmt w:val="decimal"/>
      <w:lvlText w:val="%7."/>
      <w:lvlJc w:val="left"/>
      <w:pPr>
        <w:ind w:left="5040" w:hanging="360"/>
      </w:pPr>
    </w:lvl>
    <w:lvl w:ilvl="7" w:tplc="36D87CCA" w:tentative="1">
      <w:start w:val="1"/>
      <w:numFmt w:val="lowerLetter"/>
      <w:lvlText w:val="%8."/>
      <w:lvlJc w:val="left"/>
      <w:pPr>
        <w:ind w:left="5760" w:hanging="360"/>
      </w:pPr>
    </w:lvl>
    <w:lvl w:ilvl="8" w:tplc="E7EA8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D1B07"/>
    <w:multiLevelType w:val="hybridMultilevel"/>
    <w:tmpl w:val="361C4D92"/>
    <w:lvl w:ilvl="0" w:tplc="04C42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4C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C6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EE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06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6D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E4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08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87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066E"/>
    <w:multiLevelType w:val="hybridMultilevel"/>
    <w:tmpl w:val="41B2ACFE"/>
    <w:lvl w:ilvl="0" w:tplc="A80EC3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D2244B58" w:tentative="1">
      <w:start w:val="1"/>
      <w:numFmt w:val="lowerLetter"/>
      <w:lvlText w:val="%2."/>
      <w:lvlJc w:val="left"/>
      <w:pPr>
        <w:ind w:left="1440" w:hanging="360"/>
      </w:pPr>
    </w:lvl>
    <w:lvl w:ilvl="2" w:tplc="BBAC561C" w:tentative="1">
      <w:start w:val="1"/>
      <w:numFmt w:val="lowerRoman"/>
      <w:lvlText w:val="%3."/>
      <w:lvlJc w:val="right"/>
      <w:pPr>
        <w:ind w:left="2160" w:hanging="180"/>
      </w:pPr>
    </w:lvl>
    <w:lvl w:ilvl="3" w:tplc="FF6A317A" w:tentative="1">
      <w:start w:val="1"/>
      <w:numFmt w:val="decimal"/>
      <w:lvlText w:val="%4."/>
      <w:lvlJc w:val="left"/>
      <w:pPr>
        <w:ind w:left="2880" w:hanging="360"/>
      </w:pPr>
    </w:lvl>
    <w:lvl w:ilvl="4" w:tplc="66A400B4" w:tentative="1">
      <w:start w:val="1"/>
      <w:numFmt w:val="lowerLetter"/>
      <w:lvlText w:val="%5."/>
      <w:lvlJc w:val="left"/>
      <w:pPr>
        <w:ind w:left="3600" w:hanging="360"/>
      </w:pPr>
    </w:lvl>
    <w:lvl w:ilvl="5" w:tplc="6E9262DC" w:tentative="1">
      <w:start w:val="1"/>
      <w:numFmt w:val="lowerRoman"/>
      <w:lvlText w:val="%6."/>
      <w:lvlJc w:val="right"/>
      <w:pPr>
        <w:ind w:left="4320" w:hanging="180"/>
      </w:pPr>
    </w:lvl>
    <w:lvl w:ilvl="6" w:tplc="27CAE17C" w:tentative="1">
      <w:start w:val="1"/>
      <w:numFmt w:val="decimal"/>
      <w:lvlText w:val="%7."/>
      <w:lvlJc w:val="left"/>
      <w:pPr>
        <w:ind w:left="5040" w:hanging="360"/>
      </w:pPr>
    </w:lvl>
    <w:lvl w:ilvl="7" w:tplc="D78A845A" w:tentative="1">
      <w:start w:val="1"/>
      <w:numFmt w:val="lowerLetter"/>
      <w:lvlText w:val="%8."/>
      <w:lvlJc w:val="left"/>
      <w:pPr>
        <w:ind w:left="5760" w:hanging="360"/>
      </w:pPr>
    </w:lvl>
    <w:lvl w:ilvl="8" w:tplc="E47CF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6B1B"/>
    <w:multiLevelType w:val="hybridMultilevel"/>
    <w:tmpl w:val="CAA6E03E"/>
    <w:lvl w:ilvl="0" w:tplc="BB4852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AE7EBF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5F4B5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700CF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B97090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550D1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B82C284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B02AF5A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7F00855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04C31AC"/>
    <w:multiLevelType w:val="hybridMultilevel"/>
    <w:tmpl w:val="7DC2DA58"/>
    <w:lvl w:ilvl="0" w:tplc="D7BCD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C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81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4F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EE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DA0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63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A9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641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D4E4D"/>
    <w:multiLevelType w:val="hybridMultilevel"/>
    <w:tmpl w:val="426C8412"/>
    <w:lvl w:ilvl="0" w:tplc="42646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4C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A6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03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CC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78D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6B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E9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A0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91CBF"/>
    <w:multiLevelType w:val="hybridMultilevel"/>
    <w:tmpl w:val="C8364364"/>
    <w:lvl w:ilvl="0" w:tplc="D6C28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E0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EB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83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A8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7E6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64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20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A0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52E4"/>
    <w:multiLevelType w:val="hybridMultilevel"/>
    <w:tmpl w:val="0F84BA56"/>
    <w:lvl w:ilvl="0" w:tplc="F12E16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6A8EAA2" w:tentative="1">
      <w:start w:val="1"/>
      <w:numFmt w:val="lowerLetter"/>
      <w:lvlText w:val="%2."/>
      <w:lvlJc w:val="left"/>
      <w:pPr>
        <w:ind w:left="1440" w:hanging="360"/>
      </w:pPr>
    </w:lvl>
    <w:lvl w:ilvl="2" w:tplc="ED660486" w:tentative="1">
      <w:start w:val="1"/>
      <w:numFmt w:val="lowerRoman"/>
      <w:lvlText w:val="%3."/>
      <w:lvlJc w:val="right"/>
      <w:pPr>
        <w:ind w:left="2160" w:hanging="180"/>
      </w:pPr>
    </w:lvl>
    <w:lvl w:ilvl="3" w:tplc="C10C6E90" w:tentative="1">
      <w:start w:val="1"/>
      <w:numFmt w:val="decimal"/>
      <w:lvlText w:val="%4."/>
      <w:lvlJc w:val="left"/>
      <w:pPr>
        <w:ind w:left="2880" w:hanging="360"/>
      </w:pPr>
    </w:lvl>
    <w:lvl w:ilvl="4" w:tplc="EA344AB8" w:tentative="1">
      <w:start w:val="1"/>
      <w:numFmt w:val="lowerLetter"/>
      <w:lvlText w:val="%5."/>
      <w:lvlJc w:val="left"/>
      <w:pPr>
        <w:ind w:left="3600" w:hanging="360"/>
      </w:pPr>
    </w:lvl>
    <w:lvl w:ilvl="5" w:tplc="0CC8C812" w:tentative="1">
      <w:start w:val="1"/>
      <w:numFmt w:val="lowerRoman"/>
      <w:lvlText w:val="%6."/>
      <w:lvlJc w:val="right"/>
      <w:pPr>
        <w:ind w:left="4320" w:hanging="180"/>
      </w:pPr>
    </w:lvl>
    <w:lvl w:ilvl="6" w:tplc="D166D912" w:tentative="1">
      <w:start w:val="1"/>
      <w:numFmt w:val="decimal"/>
      <w:lvlText w:val="%7."/>
      <w:lvlJc w:val="left"/>
      <w:pPr>
        <w:ind w:left="5040" w:hanging="360"/>
      </w:pPr>
    </w:lvl>
    <w:lvl w:ilvl="7" w:tplc="28164310" w:tentative="1">
      <w:start w:val="1"/>
      <w:numFmt w:val="lowerLetter"/>
      <w:lvlText w:val="%8."/>
      <w:lvlJc w:val="left"/>
      <w:pPr>
        <w:ind w:left="5760" w:hanging="360"/>
      </w:pPr>
    </w:lvl>
    <w:lvl w:ilvl="8" w:tplc="11400B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AD"/>
    <w:rsid w:val="000957AD"/>
    <w:rsid w:val="0036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D6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F3B27"/>
    <w:pPr>
      <w:spacing w:before="200" w:after="10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F3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EEB"/>
  </w:style>
  <w:style w:type="paragraph" w:styleId="Footer">
    <w:name w:val="footer"/>
    <w:basedOn w:val="Normal"/>
    <w:link w:val="FooterChar"/>
    <w:uiPriority w:val="99"/>
    <w:unhideWhenUsed/>
    <w:rsid w:val="00BF3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EEB"/>
  </w:style>
  <w:style w:type="paragraph" w:styleId="BalloonText">
    <w:name w:val="Balloon Text"/>
    <w:basedOn w:val="Normal"/>
    <w:link w:val="BalloonTextChar"/>
    <w:uiPriority w:val="99"/>
    <w:semiHidden/>
    <w:unhideWhenUsed/>
    <w:rsid w:val="0075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7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D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D99"/>
    <w:rPr>
      <w:b/>
      <w:bCs/>
    </w:rPr>
  </w:style>
  <w:style w:type="paragraph" w:styleId="Revision">
    <w:name w:val="Revision"/>
    <w:hidden/>
    <w:uiPriority w:val="99"/>
    <w:semiHidden/>
    <w:rsid w:val="00357D99"/>
    <w:rPr>
      <w:sz w:val="22"/>
      <w:szCs w:val="22"/>
    </w:rPr>
  </w:style>
  <w:style w:type="paragraph" w:customStyle="1" w:styleId="Default">
    <w:name w:val="Default"/>
    <w:rsid w:val="005753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3B27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F3B27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02FF6D9872E4B839B335DDD3FC0B3" ma:contentTypeVersion="1" ma:contentTypeDescription="Create a new document." ma:contentTypeScope="" ma:versionID="c7df1a55400868245c468b75c67d9a25">
  <xsd:schema xmlns:xsd="http://www.w3.org/2001/XMLSchema" xmlns:xs="http://www.w3.org/2001/XMLSchema" xmlns:p="http://schemas.microsoft.com/office/2006/metadata/properties" xmlns:ns2="ed92a188-2d2f-467d-a352-9b870f4976c7" targetNamespace="http://schemas.microsoft.com/office/2006/metadata/properties" ma:root="true" ma:fieldsID="7911b42a56acc2ba7fa8b7ac24a05e7a" ns2:_="">
    <xsd:import namespace="ed92a188-2d2f-467d-a352-9b870f4976c7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a188-2d2f-467d-a352-9b870f4976c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Working Drafts" ma:format="Dropdown" ma:internalName="Status">
      <xsd:simpleType>
        <xsd:restriction base="dms:Choice">
          <xsd:enumeration value="Working Drafts"/>
          <xsd:enumeration value="In Clearance"/>
          <xsd:enumeration value="Final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d92a188-2d2f-467d-a352-9b870f4976c7">Working Drafts</Status>
  </documentManagement>
</p:properties>
</file>

<file path=customXml/itemProps1.xml><?xml version="1.0" encoding="utf-8"?>
<ds:datastoreItem xmlns:ds="http://schemas.openxmlformats.org/officeDocument/2006/customXml" ds:itemID="{D3490922-7F42-4B38-ACEC-92BA6F9E7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2a188-2d2f-467d-a352-9b870f497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60544-6C7A-493E-828C-2D2C773A5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3E439-2B81-4241-954D-87F5B02ABBFF}">
  <ds:schemaRefs>
    <ds:schemaRef ds:uri="http://schemas.microsoft.com/office/2006/metadata/properties"/>
    <ds:schemaRef ds:uri="http://schemas.microsoft.com/office/infopath/2007/PartnerControls"/>
    <ds:schemaRef ds:uri="ed92a188-2d2f-467d-a352-9b870f497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1900-01-01T06:00:00Z</cp:lastPrinted>
  <dcterms:created xsi:type="dcterms:W3CDTF">2018-01-01T20:34:00Z</dcterms:created>
  <dcterms:modified xsi:type="dcterms:W3CDTF">2018-01-01T20:34:00Z</dcterms:modified>
</cp:coreProperties>
</file>